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32A02">
      <w:pPr>
        <w:pStyle w:val="4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0"/>
        <w:jc w:val="center"/>
        <w:textAlignment w:val="auto"/>
        <w:rPr>
          <w:rFonts w:ascii="方正小标宋简体" w:eastAsia="方正小标宋简体" w:hAnsiTheme="minorEastAsia"/>
          <w:bCs/>
          <w:color w:val="000000"/>
          <w:sz w:val="44"/>
          <w:szCs w:val="44"/>
        </w:rPr>
      </w:pPr>
      <w:r>
        <w:rPr>
          <w:rFonts w:hint="eastAsia" w:ascii="方正小标宋简体" w:eastAsia="方正小标宋简体" w:hAnsiTheme="minorEastAsia"/>
          <w:bCs/>
          <w:color w:val="000000"/>
          <w:sz w:val="44"/>
          <w:szCs w:val="44"/>
        </w:rPr>
        <w:t>202</w:t>
      </w:r>
      <w:r>
        <w:rPr>
          <w:rFonts w:hint="eastAsia" w:ascii="方正小标宋简体" w:eastAsia="方正小标宋简体" w:hAnsiTheme="minorEastAsia"/>
          <w:bCs/>
          <w:color w:val="000000"/>
          <w:sz w:val="44"/>
          <w:szCs w:val="44"/>
          <w:lang w:val="en-US" w:eastAsia="zh-CN"/>
        </w:rPr>
        <w:t>5</w:t>
      </w:r>
      <w:r>
        <w:rPr>
          <w:rFonts w:hint="eastAsia" w:ascii="方正小标宋简体" w:eastAsia="方正小标宋简体" w:hAnsiTheme="minorEastAsia"/>
          <w:bCs/>
          <w:color w:val="000000"/>
          <w:sz w:val="44"/>
          <w:szCs w:val="44"/>
        </w:rPr>
        <w:t>年武汉理工大学研究生课程资源库及教学案例库建设项目实施细则</w:t>
      </w:r>
    </w:p>
    <w:p w14:paraId="7E19DD39">
      <w:pPr>
        <w:pStyle w:val="4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0"/>
        <w:jc w:val="center"/>
        <w:textAlignment w:val="auto"/>
        <w:rPr>
          <w:rFonts w:asciiTheme="minorEastAsia" w:hAnsiTheme="minorEastAsia" w:eastAsiaTheme="minorEastAsia"/>
          <w:b/>
          <w:bCs/>
          <w:color w:val="000000"/>
          <w:sz w:val="28"/>
          <w:szCs w:val="28"/>
        </w:rPr>
      </w:pPr>
    </w:p>
    <w:p w14:paraId="3BE7E153">
      <w:pPr>
        <w:pStyle w:val="4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0"/>
        <w:jc w:val="both"/>
        <w:textAlignment w:val="auto"/>
        <w:rPr>
          <w:rFonts w:ascii="仿宋_GB2312" w:eastAsia="仿宋_GB2312" w:hAnsiTheme="minorEastAsia"/>
          <w:color w:val="000000"/>
          <w:sz w:val="32"/>
          <w:szCs w:val="32"/>
        </w:rPr>
      </w:pPr>
      <w:r>
        <w:rPr>
          <w:rFonts w:hint="eastAsia" w:ascii="仿宋_GB2312" w:eastAsia="仿宋_GB2312" w:hAnsiTheme="minorEastAsia"/>
          <w:color w:val="000000"/>
          <w:sz w:val="32"/>
          <w:szCs w:val="32"/>
        </w:rPr>
        <w:t>各研究生培养单位：</w:t>
      </w:r>
    </w:p>
    <w:p w14:paraId="35E90213">
      <w:pPr>
        <w:pStyle w:val="4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ascii="仿宋_GB2312" w:eastAsia="仿宋_GB2312" w:hAnsiTheme="minorEastAsia"/>
          <w:color w:val="000000"/>
          <w:sz w:val="32"/>
          <w:szCs w:val="32"/>
        </w:rPr>
      </w:pPr>
      <w:r>
        <w:rPr>
          <w:rFonts w:hint="eastAsia" w:ascii="仿宋_GB2312" w:eastAsia="仿宋_GB2312" w:hAnsiTheme="minorEastAsia"/>
          <w:color w:val="000000"/>
          <w:sz w:val="32"/>
          <w:szCs w:val="32"/>
        </w:rPr>
        <w:t>为推进专业学位研究生教学改革，强化专业学位研究生的实践能力培养，丰富研究生教学资源，以课程资源和教学案例为基础，将理论与实践紧密结合，引导学生发现问题、分析问题、解决问题、从而掌握理论、形成观点、提高实践动手能力。学校现决定开展202</w:t>
      </w:r>
      <w:r>
        <w:rPr>
          <w:rFonts w:hint="eastAsia" w:ascii="仿宋_GB2312" w:eastAsia="仿宋_GB2312" w:hAnsiTheme="minorEastAsia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hAnsiTheme="minorEastAsia"/>
          <w:color w:val="000000"/>
          <w:sz w:val="32"/>
          <w:szCs w:val="32"/>
        </w:rPr>
        <w:t>年度研究生课程资源库及教学案例库</w:t>
      </w:r>
      <w:bookmarkStart w:id="0" w:name="_GoBack"/>
      <w:bookmarkEnd w:id="0"/>
      <w:r>
        <w:rPr>
          <w:rFonts w:hint="eastAsia" w:ascii="仿宋_GB2312" w:eastAsia="仿宋_GB2312" w:hAnsiTheme="minorEastAsia"/>
          <w:color w:val="000000"/>
          <w:sz w:val="32"/>
          <w:szCs w:val="32"/>
        </w:rPr>
        <w:t>的立项建设工作，现将有关事宜通知如下：</w:t>
      </w:r>
    </w:p>
    <w:p w14:paraId="7C598301">
      <w:pPr>
        <w:pStyle w:val="4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3" w:firstLineChars="200"/>
        <w:jc w:val="both"/>
        <w:textAlignment w:val="auto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一、建设目标</w:t>
      </w:r>
    </w:p>
    <w:p w14:paraId="7A6B775E">
      <w:pPr>
        <w:pStyle w:val="4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</w:rPr>
        <w:t>通过课程资源库及教学案例库的建设，带动教学模式和教学方法改革，提高教育培养质量，保证我校研究生创新人才培养目标的顺利实现。</w:t>
      </w:r>
    </w:p>
    <w:p w14:paraId="2F1115FF">
      <w:pPr>
        <w:pStyle w:val="4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3" w:firstLineChars="200"/>
        <w:jc w:val="both"/>
        <w:textAlignment w:val="auto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二、建设内容</w:t>
      </w:r>
    </w:p>
    <w:p w14:paraId="0D2502D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（一）课程资源库及教学案例库以课程为单位，范围包括我校所有研究生</w:t>
      </w:r>
      <w:r>
        <w:rPr>
          <w:rFonts w:hint="eastAsia" w:ascii="仿宋_GB2312" w:hAnsi="宋体" w:eastAsia="仿宋_GB2312" w:cs="Times New Roman"/>
          <w:b/>
          <w:sz w:val="32"/>
          <w:szCs w:val="32"/>
        </w:rPr>
        <w:t>现培养方案中</w:t>
      </w:r>
      <w:r>
        <w:rPr>
          <w:rFonts w:hint="eastAsia" w:ascii="仿宋_GB2312" w:hAnsi="宋体" w:eastAsia="仿宋_GB2312" w:cs="Times New Roman"/>
          <w:sz w:val="32"/>
          <w:szCs w:val="32"/>
        </w:rPr>
        <w:t>适宜采用课程资源库或教学案例库进行建设的专业课程（含专业学位和专业选修课程）。</w:t>
      </w:r>
    </w:p>
    <w:p w14:paraId="167014C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（二）课程资源库的内容能够涵盖课程相应领域的基本知识、基本概念、基本原理、基本方法、基本技能、典型案例、综合应用、前沿专题、热点问题等内容，具有基础性、科学性、系统性、先进性、适应性和针对性等特征。</w:t>
      </w:r>
    </w:p>
    <w:p w14:paraId="5A0DC7A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案例库建设中所涉及的案例应符合典型性、客观性、先进性和创新性的要求，成果应该能够在课程教学中运用，并可在相关专业范围内共享。</w:t>
      </w:r>
    </w:p>
    <w:p w14:paraId="79A2C4D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（三）课程资源库应包含：</w:t>
      </w:r>
    </w:p>
    <w:p w14:paraId="52C656D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图片资料：企业生产工具、生产对象、生产场景、校内教学条件；音视频：企业生产过程、学生实训、课堂教学；动画资源：工作原理、工作过程、内部结构；虚拟资源：虚拟企业、虚拟场景、虚拟设备以及虚拟实训项目。</w:t>
      </w:r>
    </w:p>
    <w:p w14:paraId="50EF699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每个课程资源库不少于10个课程资源，每个课程资源应能完整展现教学内容的一个环节或知识点；改编、引进或购买的课程资源可进入资源库，但应注意避免引起版权纠纷，其中原创性课程资源不少于4个。</w:t>
      </w:r>
    </w:p>
    <w:p w14:paraId="3CD46E7B">
      <w:pPr>
        <w:pStyle w:val="4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ascii="仿宋_GB2312" w:eastAsia="仿宋_GB2312" w:hAnsiTheme="minorEastAsia"/>
          <w:color w:val="000000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</w:rPr>
        <w:t>（四）教学案例库</w:t>
      </w:r>
      <w:r>
        <w:rPr>
          <w:rFonts w:hint="eastAsia" w:ascii="仿宋_GB2312" w:eastAsia="仿宋_GB2312" w:hAnsiTheme="minorEastAsia"/>
          <w:color w:val="000000"/>
          <w:sz w:val="32"/>
          <w:szCs w:val="32"/>
        </w:rPr>
        <w:t>应包含：</w:t>
      </w:r>
    </w:p>
    <w:p w14:paraId="440508FE">
      <w:pPr>
        <w:pStyle w:val="4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ascii="仿宋_GB2312" w:eastAsia="仿宋_GB2312" w:hAnsiTheme="minorEastAsia"/>
          <w:color w:val="000000"/>
          <w:sz w:val="32"/>
          <w:szCs w:val="32"/>
        </w:rPr>
      </w:pPr>
      <w:r>
        <w:rPr>
          <w:rFonts w:hint="eastAsia" w:ascii="仿宋_GB2312" w:eastAsia="仿宋_GB2312" w:hAnsiTheme="minorEastAsia"/>
          <w:color w:val="000000"/>
          <w:sz w:val="32"/>
          <w:szCs w:val="32"/>
        </w:rPr>
        <w:t>具有现实指导意义和教学意义的代表性的事件或现象，将其进行系统的整合，应具有多种媒体的综合应用，包括图片、音视频、演示文稿等方式，实现知识内容的传授、综合的应用、知识的迁徙、技能的掌握。</w:t>
      </w:r>
    </w:p>
    <w:p w14:paraId="32E5D0D8">
      <w:pPr>
        <w:pStyle w:val="4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ascii="仿宋_GB2312" w:eastAsia="仿宋_GB2312" w:hAnsiTheme="minorEastAsia"/>
          <w:color w:val="000000"/>
          <w:sz w:val="32"/>
          <w:szCs w:val="32"/>
        </w:rPr>
      </w:pPr>
      <w:r>
        <w:rPr>
          <w:rFonts w:hint="eastAsia" w:ascii="仿宋_GB2312" w:eastAsia="仿宋_GB2312" w:cs="Times New Roman" w:hAnsiTheme="minorEastAsia"/>
          <w:color w:val="000000"/>
          <w:sz w:val="32"/>
          <w:szCs w:val="32"/>
        </w:rPr>
        <w:t>每个教学案例库不少于</w:t>
      </w:r>
      <w:r>
        <w:rPr>
          <w:rFonts w:ascii="仿宋_GB2312" w:eastAsia="仿宋_GB2312" w:cs="Times New Roman" w:hAnsiTheme="minorEastAsia"/>
          <w:color w:val="000000"/>
          <w:sz w:val="32"/>
          <w:szCs w:val="32"/>
        </w:rPr>
        <w:t>15</w:t>
      </w:r>
      <w:r>
        <w:rPr>
          <w:rFonts w:hint="eastAsia" w:ascii="仿宋_GB2312" w:eastAsia="仿宋_GB2312" w:hAnsiTheme="minorEastAsia"/>
          <w:color w:val="000000"/>
          <w:sz w:val="32"/>
          <w:szCs w:val="32"/>
        </w:rPr>
        <w:t>个案例，改编、引进或购买的案例可进入案例库，但应注意避免引起版权纠纷，其中原创性案例不少于</w:t>
      </w:r>
      <w:r>
        <w:rPr>
          <w:rFonts w:hint="eastAsia" w:ascii="仿宋_GB2312" w:eastAsia="仿宋_GB2312" w:cs="Times New Roman" w:hAnsiTheme="minorEastAsia"/>
          <w:color w:val="000000"/>
          <w:sz w:val="32"/>
          <w:szCs w:val="32"/>
        </w:rPr>
        <w:t>8</w:t>
      </w:r>
      <w:r>
        <w:rPr>
          <w:rFonts w:hint="eastAsia" w:ascii="仿宋_GB2312" w:eastAsia="仿宋_GB2312" w:hAnsiTheme="minorEastAsia"/>
          <w:color w:val="000000"/>
          <w:sz w:val="32"/>
          <w:szCs w:val="32"/>
        </w:rPr>
        <w:t>个。</w:t>
      </w:r>
    </w:p>
    <w:p w14:paraId="454A14F3">
      <w:pPr>
        <w:pStyle w:val="4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3" w:firstLineChars="200"/>
        <w:jc w:val="both"/>
        <w:textAlignment w:val="auto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三、申报条件</w:t>
      </w:r>
    </w:p>
    <w:p w14:paraId="63015EE3">
      <w:pPr>
        <w:pStyle w:val="4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ascii="仿宋_GB2312" w:eastAsia="仿宋_GB2312" w:hAnsiTheme="minorEastAsia"/>
          <w:color w:val="000000"/>
          <w:sz w:val="32"/>
          <w:szCs w:val="32"/>
        </w:rPr>
      </w:pPr>
      <w:r>
        <w:rPr>
          <w:rFonts w:hint="eastAsia" w:ascii="仿宋_GB2312" w:eastAsia="仿宋_GB2312" w:hAnsiTheme="minorEastAsia"/>
          <w:color w:val="000000"/>
          <w:sz w:val="32"/>
          <w:szCs w:val="32"/>
        </w:rPr>
        <w:t>课程资源库及教学案例库以项目的形式进行申报，</w:t>
      </w:r>
      <w:r>
        <w:rPr>
          <w:rFonts w:hint="eastAsia" w:ascii="仿宋_GB2312" w:eastAsia="仿宋_GB2312" w:hAnsiTheme="minorEastAsia"/>
          <w:b/>
          <w:color w:val="000000"/>
          <w:sz w:val="32"/>
          <w:szCs w:val="32"/>
        </w:rPr>
        <w:t>项目建设团队必须有一名企业合作导师参与</w:t>
      </w:r>
      <w:r>
        <w:rPr>
          <w:rFonts w:hint="eastAsia" w:ascii="仿宋_GB2312" w:eastAsia="仿宋_GB2312" w:hAnsiTheme="minorEastAsia"/>
          <w:color w:val="000000"/>
          <w:sz w:val="32"/>
          <w:szCs w:val="32"/>
        </w:rPr>
        <w:t>，项目负责人（及其申报团队）须在相应课程的实践领域具有丰富的实践经验，系统讲授过所申报的课程或相关课程，教学效果良好，熟知案例教学基本规范。</w:t>
      </w:r>
    </w:p>
    <w:p w14:paraId="184736FA">
      <w:pPr>
        <w:pStyle w:val="4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3" w:firstLineChars="200"/>
        <w:jc w:val="both"/>
        <w:textAlignment w:val="auto"/>
        <w:rPr>
          <w:rFonts w:hint="eastAsia" w:ascii="黑体" w:hAnsi="黑体" w:eastAsia="黑体" w:cs="黑体"/>
          <w:b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color w:val="000000"/>
          <w:sz w:val="32"/>
          <w:szCs w:val="32"/>
        </w:rPr>
        <w:t>四、申报程序</w:t>
      </w:r>
    </w:p>
    <w:p w14:paraId="761FF49F">
      <w:pPr>
        <w:pStyle w:val="4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cs="Times New Roman" w:hAnsiTheme="minorEastAsia"/>
          <w:sz w:val="32"/>
          <w:szCs w:val="32"/>
        </w:rPr>
        <w:t>（一）</w:t>
      </w:r>
      <w:r>
        <w:rPr>
          <w:rFonts w:hint="eastAsia" w:ascii="仿宋_GB2312" w:hAnsi="Times New Roman" w:eastAsia="仿宋_GB2312" w:cs="Times New Roman"/>
          <w:sz w:val="32"/>
          <w:szCs w:val="32"/>
        </w:rPr>
        <w:t>202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cs="Times New Roman"/>
          <w:sz w:val="32"/>
          <w:szCs w:val="32"/>
        </w:rPr>
        <w:t>年</w:t>
      </w:r>
      <w:r>
        <w:rPr>
          <w:rFonts w:ascii="仿宋_GB2312" w:hAnsi="Times New Roman" w:eastAsia="仿宋_GB2312" w:cs="Times New Roman"/>
          <w:sz w:val="32"/>
          <w:szCs w:val="32"/>
        </w:rPr>
        <w:t>3</w:t>
      </w:r>
      <w:r>
        <w:rPr>
          <w:rFonts w:hint="eastAsia" w:ascii="仿宋_GB2312" w:eastAsia="仿宋_GB2312" w:cs="Times New Roman"/>
          <w:sz w:val="32"/>
          <w:szCs w:val="32"/>
        </w:rPr>
        <w:t>月</w:t>
      </w:r>
      <w:r>
        <w:rPr>
          <w:rFonts w:ascii="仿宋_GB2312" w:hAnsi="Times New Roman" w:eastAsia="仿宋_GB2312" w:cs="Times New Roman"/>
          <w:sz w:val="32"/>
          <w:szCs w:val="32"/>
        </w:rPr>
        <w:t>1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 w:cs="Times New Roman"/>
          <w:sz w:val="32"/>
          <w:szCs w:val="32"/>
        </w:rPr>
        <w:t>日前，</w:t>
      </w:r>
      <w:r>
        <w:rPr>
          <w:rFonts w:hint="eastAsia" w:ascii="仿宋_GB2312" w:eastAsia="仿宋_GB2312" w:hAnsiTheme="minorEastAsia"/>
          <w:sz w:val="32"/>
          <w:szCs w:val="32"/>
        </w:rPr>
        <w:t>项目负责人填写《武汉理工大学研究生课程资源库建设项目申报书》（附件5.1）或《武汉理工大学研究生教学案例库建设项目申报书》（附件5.2）交所在学院审核；</w:t>
      </w:r>
    </w:p>
    <w:p w14:paraId="1E1509D6">
      <w:pPr>
        <w:pStyle w:val="4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cs="Times New Roman" w:hAnsiTheme="minorEastAsia"/>
          <w:sz w:val="32"/>
          <w:szCs w:val="32"/>
        </w:rPr>
        <w:t>（二）</w:t>
      </w:r>
      <w:r>
        <w:rPr>
          <w:rFonts w:hint="eastAsia" w:ascii="仿宋_GB2312" w:hAnsi="Times New Roman" w:eastAsia="仿宋_GB2312" w:cs="Times New Roman"/>
          <w:sz w:val="32"/>
          <w:szCs w:val="32"/>
        </w:rPr>
        <w:t>202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cs="Times New Roman"/>
          <w:sz w:val="32"/>
          <w:szCs w:val="32"/>
        </w:rPr>
        <w:t>年</w:t>
      </w:r>
      <w:r>
        <w:rPr>
          <w:rFonts w:ascii="仿宋_GB2312" w:hAnsi="Times New Roman" w:eastAsia="仿宋_GB2312" w:cs="Times New Roman"/>
          <w:sz w:val="32"/>
          <w:szCs w:val="32"/>
        </w:rPr>
        <w:t>3</w:t>
      </w:r>
      <w:r>
        <w:rPr>
          <w:rFonts w:hint="eastAsia" w:ascii="仿宋_GB2312" w:eastAsia="仿宋_GB2312" w:cs="Times New Roman"/>
          <w:sz w:val="32"/>
          <w:szCs w:val="32"/>
        </w:rPr>
        <w:t>月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19</w:t>
      </w:r>
      <w:r>
        <w:rPr>
          <w:rFonts w:hint="eastAsia" w:ascii="仿宋_GB2312" w:eastAsia="仿宋_GB2312" w:cs="Times New Roman"/>
          <w:sz w:val="32"/>
          <w:szCs w:val="32"/>
        </w:rPr>
        <w:t>日前，</w:t>
      </w:r>
      <w:r>
        <w:rPr>
          <w:rFonts w:hint="eastAsia" w:ascii="仿宋_GB2312" w:eastAsia="仿宋_GB2312" w:hAnsiTheme="minorEastAsia"/>
          <w:sz w:val="32"/>
          <w:szCs w:val="32"/>
        </w:rPr>
        <w:t>学院审核后</w:t>
      </w:r>
      <w:r>
        <w:rPr>
          <w:rFonts w:hint="eastAsia" w:ascii="仿宋_GB2312" w:hAnsi="Times New Roman" w:eastAsia="仿宋_GB2312" w:cs="Times New Roman"/>
          <w:sz w:val="32"/>
          <w:szCs w:val="32"/>
        </w:rPr>
        <w:t>将</w:t>
      </w:r>
      <w:r>
        <w:rPr>
          <w:rFonts w:hint="eastAsia" w:ascii="仿宋_GB2312" w:eastAsia="仿宋_GB2312"/>
          <w:sz w:val="32"/>
          <w:szCs w:val="32"/>
        </w:rPr>
        <w:t>申报</w:t>
      </w:r>
      <w:r>
        <w:rPr>
          <w:rFonts w:ascii="仿宋_GB2312" w:eastAsia="仿宋_GB2312"/>
          <w:bCs/>
          <w:sz w:val="32"/>
          <w:szCs w:val="32"/>
        </w:rPr>
        <w:t>材料</w:t>
      </w:r>
      <w:r>
        <w:rPr>
          <w:rFonts w:hint="eastAsia" w:ascii="仿宋_GB2312" w:eastAsia="仿宋_GB2312"/>
          <w:bCs/>
          <w:sz w:val="32"/>
          <w:szCs w:val="32"/>
        </w:rPr>
        <w:t>电子版（word版和签字盖章</w:t>
      </w:r>
      <w:r>
        <w:rPr>
          <w:rFonts w:ascii="仿宋_GB2312" w:eastAsia="仿宋_GB2312"/>
          <w:bCs/>
          <w:sz w:val="32"/>
          <w:szCs w:val="32"/>
        </w:rPr>
        <w:t>PDF版）</w:t>
      </w:r>
      <w:r>
        <w:rPr>
          <w:rFonts w:hint="eastAsia" w:ascii="仿宋_GB2312" w:eastAsia="仿宋_GB2312"/>
          <w:bCs/>
          <w:sz w:val="32"/>
          <w:szCs w:val="32"/>
        </w:rPr>
        <w:t>汇总</w:t>
      </w:r>
      <w:r>
        <w:rPr>
          <w:rFonts w:ascii="仿宋_GB2312" w:eastAsia="仿宋_GB2312"/>
          <w:bCs/>
          <w:sz w:val="32"/>
          <w:szCs w:val="32"/>
        </w:rPr>
        <w:t>发送至</w:t>
      </w:r>
      <w:r>
        <w:rPr>
          <w:rFonts w:hint="eastAsia" w:ascii="仿宋_GB2312" w:eastAsia="仿宋_GB2312"/>
          <w:bCs/>
          <w:sz w:val="32"/>
          <w:szCs w:val="32"/>
        </w:rPr>
        <w:t>研究生院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教研管理科</w:t>
      </w:r>
      <w:r>
        <w:rPr>
          <w:rFonts w:hint="eastAsia" w:ascii="仿宋_GB2312" w:eastAsia="仿宋_GB2312" w:hAnsiTheme="minorEastAsia"/>
          <w:sz w:val="32"/>
          <w:szCs w:val="32"/>
        </w:rPr>
        <w:t>；</w:t>
      </w:r>
    </w:p>
    <w:p w14:paraId="308057E6">
      <w:pPr>
        <w:pStyle w:val="4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ascii="仿宋_GB2312" w:eastAsia="仿宋_GB2312" w:hAnsiTheme="minorEastAsia"/>
          <w:color w:val="000000"/>
          <w:sz w:val="32"/>
          <w:szCs w:val="32"/>
        </w:rPr>
      </w:pPr>
      <w:r>
        <w:rPr>
          <w:rFonts w:hint="eastAsia" w:ascii="仿宋_GB2312" w:eastAsia="仿宋_GB2312" w:cs="Times New Roman" w:hAnsiTheme="minorEastAsia"/>
          <w:sz w:val="32"/>
          <w:szCs w:val="32"/>
        </w:rPr>
        <w:t>（三）</w:t>
      </w:r>
      <w:r>
        <w:rPr>
          <w:rFonts w:hint="eastAsia" w:ascii="仿宋_GB2312" w:eastAsia="仿宋_GB2312" w:hAnsiTheme="minorEastAsia"/>
          <w:sz w:val="32"/>
          <w:szCs w:val="32"/>
        </w:rPr>
        <w:t>研</w:t>
      </w:r>
      <w:r>
        <w:rPr>
          <w:rFonts w:hint="eastAsia" w:ascii="仿宋_GB2312" w:eastAsia="仿宋_GB2312" w:hAnsiTheme="minorEastAsia"/>
          <w:color w:val="000000"/>
          <w:sz w:val="32"/>
          <w:szCs w:val="32"/>
        </w:rPr>
        <w:t>究生院将组织专家对申报材料进行评审，确定立项建设项目。</w:t>
      </w:r>
    </w:p>
    <w:p w14:paraId="1AE1C069">
      <w:pPr>
        <w:pStyle w:val="4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3" w:firstLineChars="200"/>
        <w:jc w:val="both"/>
        <w:textAlignment w:val="auto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五、项目管理</w:t>
      </w:r>
    </w:p>
    <w:p w14:paraId="7E14D512">
      <w:pPr>
        <w:pStyle w:val="4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ascii="仿宋_GB2312" w:eastAsia="仿宋_GB2312" w:hAnsiTheme="minorEastAsia"/>
          <w:color w:val="000000"/>
          <w:sz w:val="32"/>
          <w:szCs w:val="32"/>
        </w:rPr>
      </w:pPr>
      <w:r>
        <w:rPr>
          <w:rFonts w:hint="eastAsia" w:ascii="仿宋_GB2312" w:eastAsia="仿宋_GB2312" w:hAnsiTheme="minorEastAsia"/>
          <w:color w:val="000000"/>
          <w:sz w:val="32"/>
          <w:szCs w:val="32"/>
        </w:rPr>
        <w:t>（一）经费支持</w:t>
      </w:r>
    </w:p>
    <w:p w14:paraId="154E06CB">
      <w:pPr>
        <w:pStyle w:val="4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color w:val="000000"/>
          <w:sz w:val="32"/>
          <w:szCs w:val="32"/>
        </w:rPr>
        <w:t>研究生院对于课程资源库</w:t>
      </w:r>
      <w:r>
        <w:rPr>
          <w:rFonts w:hint="eastAsia" w:ascii="仿宋_GB2312" w:eastAsia="仿宋_GB2312"/>
          <w:color w:val="000000"/>
          <w:sz w:val="32"/>
          <w:szCs w:val="32"/>
        </w:rPr>
        <w:t>建设项目的资助标准</w:t>
      </w:r>
      <w:r>
        <w:rPr>
          <w:rFonts w:hint="eastAsia" w:ascii="仿宋_GB2312" w:eastAsia="仿宋_GB2312"/>
          <w:sz w:val="32"/>
          <w:szCs w:val="32"/>
        </w:rPr>
        <w:t>为：</w:t>
      </w:r>
      <w:r>
        <w:rPr>
          <w:rFonts w:hint="eastAsia" w:ascii="仿宋_GB2312" w:eastAsia="仿宋_GB2312" w:hAnsiTheme="minorEastAsia"/>
          <w:color w:val="000000"/>
          <w:sz w:val="32"/>
          <w:szCs w:val="32"/>
        </w:rPr>
        <w:t>每个课程资源</w:t>
      </w:r>
      <w:r>
        <w:rPr>
          <w:rFonts w:hint="eastAsia" w:ascii="仿宋_GB2312" w:eastAsia="仿宋_GB2312"/>
          <w:sz w:val="32"/>
          <w:szCs w:val="32"/>
        </w:rPr>
        <w:t>1000元/年</w:t>
      </w:r>
      <w:r>
        <w:rPr>
          <w:rFonts w:hint="eastAsia" w:ascii="仿宋_GB2312" w:eastAsia="仿宋_GB2312" w:hAnsiTheme="minorEastAsia"/>
          <w:color w:val="000000"/>
          <w:sz w:val="32"/>
          <w:szCs w:val="32"/>
        </w:rPr>
        <w:t>，对于教学案例库</w:t>
      </w:r>
      <w:r>
        <w:rPr>
          <w:rFonts w:hint="eastAsia" w:ascii="仿宋_GB2312" w:eastAsia="仿宋_GB2312"/>
          <w:color w:val="000000"/>
          <w:sz w:val="32"/>
          <w:szCs w:val="32"/>
        </w:rPr>
        <w:t>建设项目的资助标准</w:t>
      </w:r>
      <w:r>
        <w:rPr>
          <w:rFonts w:hint="eastAsia" w:ascii="仿宋_GB2312" w:eastAsia="仿宋_GB2312"/>
          <w:sz w:val="32"/>
          <w:szCs w:val="32"/>
        </w:rPr>
        <w:t>为：</w:t>
      </w:r>
      <w:r>
        <w:rPr>
          <w:rFonts w:hint="eastAsia" w:ascii="仿宋_GB2312" w:eastAsia="仿宋_GB2312" w:hAnsiTheme="minorEastAsia"/>
          <w:color w:val="000000"/>
          <w:sz w:val="32"/>
          <w:szCs w:val="32"/>
        </w:rPr>
        <w:t>每个教学案例</w:t>
      </w:r>
      <w:r>
        <w:rPr>
          <w:rFonts w:hint="eastAsia" w:ascii="仿宋_GB2312" w:eastAsia="仿宋_GB2312"/>
          <w:sz w:val="32"/>
          <w:szCs w:val="32"/>
        </w:rPr>
        <w:t>1000元/年</w:t>
      </w:r>
      <w:r>
        <w:rPr>
          <w:rFonts w:hint="eastAsia" w:ascii="仿宋_GB2312" w:eastAsia="仿宋_GB2312" w:hAnsiTheme="minorEastAsia"/>
          <w:color w:val="000000"/>
          <w:sz w:val="32"/>
          <w:szCs w:val="32"/>
        </w:rPr>
        <w:t>，且总额不超过3万元，经费开支范围依照学校财务相关规定。</w:t>
      </w:r>
      <w:r>
        <w:rPr>
          <w:rFonts w:hint="eastAsia" w:ascii="仿宋_GB2312" w:eastAsia="仿宋_GB2312" w:hAnsiTheme="minorEastAsia"/>
          <w:sz w:val="32"/>
          <w:szCs w:val="32"/>
        </w:rPr>
        <w:t>研究生院在项目立项后拨付50%的项目经费，待项目验收合格后拨付余下的50%。</w:t>
      </w:r>
    </w:p>
    <w:p w14:paraId="0A4A2530">
      <w:pPr>
        <w:pStyle w:val="4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ascii="仿宋_GB2312" w:eastAsia="仿宋_GB2312" w:hAnsiTheme="minorEastAsia"/>
          <w:color w:val="000000"/>
          <w:sz w:val="32"/>
          <w:szCs w:val="32"/>
        </w:rPr>
      </w:pPr>
      <w:r>
        <w:rPr>
          <w:rFonts w:hint="eastAsia" w:ascii="仿宋_GB2312" w:eastAsia="仿宋_GB2312" w:hAnsiTheme="minorEastAsia"/>
          <w:color w:val="000000"/>
          <w:sz w:val="32"/>
          <w:szCs w:val="32"/>
        </w:rPr>
        <w:t>（二）项目建设成果，需在研究生院网站进行公开展示，上传相关课程及案例资源。</w:t>
      </w:r>
    </w:p>
    <w:p w14:paraId="206FF130">
      <w:pPr>
        <w:pStyle w:val="4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ascii="仿宋_GB2312" w:eastAsia="仿宋_GB2312" w:hAnsiTheme="minorEastAsia"/>
          <w:color w:val="000000"/>
          <w:sz w:val="32"/>
          <w:szCs w:val="32"/>
        </w:rPr>
      </w:pPr>
      <w:r>
        <w:rPr>
          <w:rFonts w:hint="eastAsia" w:ascii="仿宋_GB2312" w:eastAsia="仿宋_GB2312" w:hAnsiTheme="minorEastAsia"/>
          <w:color w:val="000000"/>
          <w:sz w:val="32"/>
          <w:szCs w:val="32"/>
        </w:rPr>
        <w:t>（三）建设周期,项目立项后建设周期一年，研究生将组织专家进行结题验收。</w:t>
      </w:r>
    </w:p>
    <w:p w14:paraId="3D6939F4">
      <w:pPr>
        <w:pStyle w:val="4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ascii="仿宋_GB2312" w:eastAsia="仿宋_GB2312" w:hAnsiTheme="minorEastAsia"/>
          <w:color w:val="000000"/>
          <w:sz w:val="32"/>
          <w:szCs w:val="32"/>
        </w:rPr>
      </w:pPr>
    </w:p>
    <w:p w14:paraId="53036924">
      <w:pPr>
        <w:pStyle w:val="4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1135" w:firstLine="640" w:firstLineChars="200"/>
        <w:jc w:val="right"/>
        <w:textAlignment w:val="auto"/>
        <w:rPr>
          <w:rFonts w:ascii="仿宋_GB2312" w:eastAsia="仿宋_GB2312" w:hAnsiTheme="minorEastAsia"/>
          <w:b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 xml:space="preserve">研究生院 </w:t>
      </w:r>
      <w:r>
        <w:rPr>
          <w:rFonts w:ascii="仿宋_GB2312" w:eastAsia="仿宋_GB2312" w:hAnsiTheme="minorEastAsia"/>
          <w:sz w:val="32"/>
          <w:szCs w:val="32"/>
        </w:rPr>
        <w:t xml:space="preserve"> </w:t>
      </w:r>
    </w:p>
    <w:p w14:paraId="1A62912D">
      <w:pPr>
        <w:pStyle w:val="4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1135" w:firstLine="640" w:firstLineChars="200"/>
        <w:jc w:val="right"/>
        <w:textAlignment w:val="auto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hAnsiTheme="minorEastAsia"/>
          <w:sz w:val="32"/>
          <w:szCs w:val="32"/>
        </w:rPr>
        <w:t>年</w:t>
      </w:r>
      <w:r>
        <w:rPr>
          <w:rFonts w:ascii="仿宋_GB2312" w:eastAsia="仿宋_GB2312" w:hAnsiTheme="minorEastAsia"/>
          <w:sz w:val="32"/>
          <w:szCs w:val="32"/>
        </w:rPr>
        <w:t>3</w:t>
      </w:r>
      <w:r>
        <w:rPr>
          <w:rFonts w:hint="eastAsia" w:ascii="仿宋_GB2312" w:eastAsia="仿宋_GB2312" w:hAnsiTheme="minorEastAsia"/>
          <w:sz w:val="32"/>
          <w:szCs w:val="32"/>
        </w:rPr>
        <w:t>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 w:hAnsiTheme="minorEastAsia"/>
          <w:sz w:val="32"/>
          <w:szCs w:val="32"/>
        </w:rPr>
        <w:t>日</w:t>
      </w:r>
    </w:p>
    <w:sectPr>
      <w:pgSz w:w="11906" w:h="16838"/>
      <w:pgMar w:top="1440" w:right="1644" w:bottom="1440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91D"/>
    <w:rsid w:val="000341FE"/>
    <w:rsid w:val="00056A4A"/>
    <w:rsid w:val="000606B3"/>
    <w:rsid w:val="000720A4"/>
    <w:rsid w:val="000938E1"/>
    <w:rsid w:val="000A069A"/>
    <w:rsid w:val="000B3FAD"/>
    <w:rsid w:val="000D2DB4"/>
    <w:rsid w:val="000D4131"/>
    <w:rsid w:val="00112976"/>
    <w:rsid w:val="00132060"/>
    <w:rsid w:val="00147AA5"/>
    <w:rsid w:val="00186316"/>
    <w:rsid w:val="001B03C3"/>
    <w:rsid w:val="001E639E"/>
    <w:rsid w:val="00202B0E"/>
    <w:rsid w:val="0021091D"/>
    <w:rsid w:val="00211ADB"/>
    <w:rsid w:val="00213CAE"/>
    <w:rsid w:val="00225D54"/>
    <w:rsid w:val="00230DF0"/>
    <w:rsid w:val="002460CE"/>
    <w:rsid w:val="00252227"/>
    <w:rsid w:val="0025356E"/>
    <w:rsid w:val="002731D1"/>
    <w:rsid w:val="002B3431"/>
    <w:rsid w:val="002B3CB9"/>
    <w:rsid w:val="002C2FEB"/>
    <w:rsid w:val="002C5527"/>
    <w:rsid w:val="002D516C"/>
    <w:rsid w:val="002D5D6C"/>
    <w:rsid w:val="002F0105"/>
    <w:rsid w:val="00302666"/>
    <w:rsid w:val="00317011"/>
    <w:rsid w:val="00327835"/>
    <w:rsid w:val="00347084"/>
    <w:rsid w:val="00372D45"/>
    <w:rsid w:val="0038164C"/>
    <w:rsid w:val="003A234F"/>
    <w:rsid w:val="003D3F54"/>
    <w:rsid w:val="00402470"/>
    <w:rsid w:val="00403C02"/>
    <w:rsid w:val="00481835"/>
    <w:rsid w:val="004A524E"/>
    <w:rsid w:val="004A7576"/>
    <w:rsid w:val="004D1B42"/>
    <w:rsid w:val="004D5190"/>
    <w:rsid w:val="004D6F09"/>
    <w:rsid w:val="00527B50"/>
    <w:rsid w:val="005358F4"/>
    <w:rsid w:val="0053594D"/>
    <w:rsid w:val="00542316"/>
    <w:rsid w:val="005965C5"/>
    <w:rsid w:val="005B2A1A"/>
    <w:rsid w:val="005D541C"/>
    <w:rsid w:val="005E412B"/>
    <w:rsid w:val="00602EC4"/>
    <w:rsid w:val="00623E92"/>
    <w:rsid w:val="0064309B"/>
    <w:rsid w:val="006436FD"/>
    <w:rsid w:val="00650689"/>
    <w:rsid w:val="00671766"/>
    <w:rsid w:val="00687E74"/>
    <w:rsid w:val="006E22B4"/>
    <w:rsid w:val="006F394B"/>
    <w:rsid w:val="00742294"/>
    <w:rsid w:val="00753430"/>
    <w:rsid w:val="00760F57"/>
    <w:rsid w:val="00765864"/>
    <w:rsid w:val="00766D20"/>
    <w:rsid w:val="00775A01"/>
    <w:rsid w:val="00781F58"/>
    <w:rsid w:val="0079286D"/>
    <w:rsid w:val="00794CC9"/>
    <w:rsid w:val="007C64AD"/>
    <w:rsid w:val="007D74C9"/>
    <w:rsid w:val="007F242F"/>
    <w:rsid w:val="007F3A9F"/>
    <w:rsid w:val="00806FCF"/>
    <w:rsid w:val="008405B2"/>
    <w:rsid w:val="008C7B00"/>
    <w:rsid w:val="008F3A79"/>
    <w:rsid w:val="00913E38"/>
    <w:rsid w:val="00927E78"/>
    <w:rsid w:val="009439F0"/>
    <w:rsid w:val="0096784F"/>
    <w:rsid w:val="009722C6"/>
    <w:rsid w:val="009A136F"/>
    <w:rsid w:val="009E5BE6"/>
    <w:rsid w:val="009F2085"/>
    <w:rsid w:val="00A002B2"/>
    <w:rsid w:val="00A03FB1"/>
    <w:rsid w:val="00A04113"/>
    <w:rsid w:val="00A13B00"/>
    <w:rsid w:val="00A31278"/>
    <w:rsid w:val="00A45E01"/>
    <w:rsid w:val="00A7330A"/>
    <w:rsid w:val="00A84FDD"/>
    <w:rsid w:val="00A975B9"/>
    <w:rsid w:val="00AD32D0"/>
    <w:rsid w:val="00AF33E7"/>
    <w:rsid w:val="00B14F97"/>
    <w:rsid w:val="00B45E1A"/>
    <w:rsid w:val="00B460E2"/>
    <w:rsid w:val="00B47C67"/>
    <w:rsid w:val="00B50AB7"/>
    <w:rsid w:val="00B72355"/>
    <w:rsid w:val="00B76B06"/>
    <w:rsid w:val="00B80E9B"/>
    <w:rsid w:val="00B85802"/>
    <w:rsid w:val="00B87218"/>
    <w:rsid w:val="00BB575D"/>
    <w:rsid w:val="00BB6FCF"/>
    <w:rsid w:val="00BC62DF"/>
    <w:rsid w:val="00BD1B55"/>
    <w:rsid w:val="00C127AA"/>
    <w:rsid w:val="00C43F17"/>
    <w:rsid w:val="00C509A5"/>
    <w:rsid w:val="00C53173"/>
    <w:rsid w:val="00C67D6F"/>
    <w:rsid w:val="00C96FDD"/>
    <w:rsid w:val="00CA6B0C"/>
    <w:rsid w:val="00CF2FDC"/>
    <w:rsid w:val="00D3573C"/>
    <w:rsid w:val="00D76158"/>
    <w:rsid w:val="00D8269A"/>
    <w:rsid w:val="00D91A95"/>
    <w:rsid w:val="00DA2E5E"/>
    <w:rsid w:val="00DA65DA"/>
    <w:rsid w:val="00DD7143"/>
    <w:rsid w:val="00DD73D6"/>
    <w:rsid w:val="00E14E24"/>
    <w:rsid w:val="00E156A0"/>
    <w:rsid w:val="00E30DD3"/>
    <w:rsid w:val="00E4686A"/>
    <w:rsid w:val="00E7531B"/>
    <w:rsid w:val="00EA10F4"/>
    <w:rsid w:val="00EB428C"/>
    <w:rsid w:val="00EB5200"/>
    <w:rsid w:val="00EC2883"/>
    <w:rsid w:val="00ED692F"/>
    <w:rsid w:val="00EF2B11"/>
    <w:rsid w:val="00F03FEC"/>
    <w:rsid w:val="00F20B20"/>
    <w:rsid w:val="00F41120"/>
    <w:rsid w:val="00F6080A"/>
    <w:rsid w:val="00F64BB9"/>
    <w:rsid w:val="00F73405"/>
    <w:rsid w:val="00F75D46"/>
    <w:rsid w:val="00FB2847"/>
    <w:rsid w:val="00FD60FB"/>
    <w:rsid w:val="00FD6D82"/>
    <w:rsid w:val="00FE6FB9"/>
    <w:rsid w:val="00FF5457"/>
    <w:rsid w:val="00FF7B60"/>
    <w:rsid w:val="0CD33899"/>
    <w:rsid w:val="6A176F17"/>
    <w:rsid w:val="6CDE49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ind w:firstLine="360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yjsy</Company>
  <Pages>3</Pages>
  <Words>1369</Words>
  <Characters>1407</Characters>
  <Lines>10</Lines>
  <Paragraphs>2</Paragraphs>
  <TotalTime>1921</TotalTime>
  <ScaleCrop>false</ScaleCrop>
  <LinksUpToDate>false</LinksUpToDate>
  <CharactersWithSpaces>1409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2016-04-12T00:43:00Z</dcterms:created>
  <dc:creator>研究生院研究生培养处实践教学管理科(yjsypycsjk)</dc:creator>
  <cp:lastModifiedBy>Administrator</cp:lastModifiedBy>
  <dcterms:modified xsi:type="dcterms:W3CDTF">2025-03-07T03:41:59Z</dcterms:modified>
  <cp:revision>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eyJoZGlkIjoiOTMwOTJlNzhmN2FkMWMwMmQ4MjY4YWVjZjQ2ZjY3N2UiLCJ1c2VySWQiOiIxNjA1OTc0ODQzIn0=</vt:lpwstr>
  </property>
  <property fmtid="{D5CDD505-2E9C-101B-9397-08002B2CF9AE}" pid="3" name="KSOProductBuildVer">
    <vt:lpwstr>2052-12.1.0.19302</vt:lpwstr>
  </property>
  <property fmtid="{D5CDD505-2E9C-101B-9397-08002B2CF9AE}" pid="4" name="ICV">
    <vt:lpwstr>265B77E1A1BE404989205D2A4A47A8D8_13</vt:lpwstr>
  </property>
</Properties>
</file>