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F1B743">
      <w:pPr>
        <w:pStyle w:val="6"/>
        <w:keepNext w:val="0"/>
        <w:keepLines w:val="0"/>
        <w:pageBreakBefore w:val="0"/>
        <w:widowControl/>
        <w:kinsoku/>
        <w:overflowPunct/>
        <w:topLinePunct w:val="0"/>
        <w:autoSpaceDE/>
        <w:autoSpaceDN/>
        <w:bidi w:val="0"/>
        <w:adjustRightInd/>
        <w:snapToGrid/>
        <w:spacing w:before="0" w:beforeAutospacing="0" w:after="0" w:afterAutospacing="0" w:line="560" w:lineRule="exact"/>
        <w:jc w:val="center"/>
        <w:textAlignment w:val="auto"/>
        <w:rPr>
          <w:rFonts w:ascii="方正小标宋简体" w:eastAsia="方正小标宋简体"/>
          <w:bCs/>
          <w:color w:val="000000"/>
          <w:sz w:val="44"/>
          <w:szCs w:val="44"/>
        </w:rPr>
      </w:pPr>
      <w:r>
        <w:rPr>
          <w:rFonts w:hint="eastAsia" w:ascii="方正小标宋简体" w:eastAsia="方正小标宋简体"/>
          <w:bCs/>
          <w:color w:val="000000"/>
          <w:sz w:val="44"/>
          <w:szCs w:val="44"/>
        </w:rPr>
        <w:t>202</w:t>
      </w:r>
      <w:r>
        <w:rPr>
          <w:rFonts w:hint="eastAsia" w:ascii="方正小标宋简体" w:eastAsia="方正小标宋简体"/>
          <w:bCs/>
          <w:color w:val="000000"/>
          <w:sz w:val="44"/>
          <w:szCs w:val="44"/>
          <w:lang w:val="en-US" w:eastAsia="zh-CN"/>
        </w:rPr>
        <w:t>5</w:t>
      </w:r>
      <w:r>
        <w:rPr>
          <w:rFonts w:hint="eastAsia" w:ascii="方正小标宋简体" w:eastAsia="方正小标宋简体"/>
          <w:bCs/>
          <w:color w:val="000000"/>
          <w:sz w:val="44"/>
          <w:szCs w:val="44"/>
        </w:rPr>
        <w:t>年武汉理工大学研究生公共实验课程建设项目实施细则</w:t>
      </w:r>
    </w:p>
    <w:p w14:paraId="2B4991B2">
      <w:pPr>
        <w:pStyle w:val="6"/>
        <w:keepNext w:val="0"/>
        <w:keepLines w:val="0"/>
        <w:pageBreakBefore w:val="0"/>
        <w:widowControl/>
        <w:kinsoku/>
        <w:overflowPunct/>
        <w:topLinePunct w:val="0"/>
        <w:autoSpaceDE/>
        <w:autoSpaceDN/>
        <w:bidi w:val="0"/>
        <w:adjustRightInd/>
        <w:snapToGrid/>
        <w:spacing w:before="0" w:beforeAutospacing="0" w:after="0" w:afterAutospacing="0" w:line="560" w:lineRule="exact"/>
        <w:jc w:val="center"/>
        <w:textAlignment w:val="auto"/>
        <w:rPr>
          <w:color w:val="000000"/>
          <w:sz w:val="28"/>
          <w:szCs w:val="28"/>
        </w:rPr>
      </w:pPr>
    </w:p>
    <w:p w14:paraId="427A2CC7">
      <w:pPr>
        <w:pStyle w:val="6"/>
        <w:keepNext w:val="0"/>
        <w:keepLines w:val="0"/>
        <w:pageBreakBefore w:val="0"/>
        <w:widowControl/>
        <w:kinsoku/>
        <w:overflowPunct/>
        <w:topLinePunct w:val="0"/>
        <w:autoSpaceDE/>
        <w:autoSpaceDN/>
        <w:bidi w:val="0"/>
        <w:adjustRightInd/>
        <w:snapToGrid/>
        <w:spacing w:before="0" w:beforeAutospacing="0" w:after="0" w:afterAutospacing="0" w:line="560" w:lineRule="exact"/>
        <w:ind w:firstLine="0"/>
        <w:jc w:val="both"/>
        <w:textAlignment w:val="auto"/>
        <w:rPr>
          <w:rFonts w:ascii="仿宋_GB2312" w:eastAsia="仿宋_GB2312"/>
          <w:color w:val="000000"/>
          <w:sz w:val="32"/>
          <w:szCs w:val="32"/>
        </w:rPr>
      </w:pPr>
      <w:r>
        <w:rPr>
          <w:rFonts w:hint="eastAsia" w:ascii="仿宋_GB2312" w:eastAsia="仿宋_GB2312"/>
          <w:color w:val="000000"/>
          <w:sz w:val="32"/>
          <w:szCs w:val="32"/>
        </w:rPr>
        <w:t>各研究生培养单位：</w:t>
      </w:r>
    </w:p>
    <w:p w14:paraId="56E8442B">
      <w:pPr>
        <w:pStyle w:val="6"/>
        <w:keepNext w:val="0"/>
        <w:keepLines w:val="0"/>
        <w:pageBreakBefore w:val="0"/>
        <w:widowControl/>
        <w:kinsoku/>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为贯彻落实《教育部关于改进和加强研究生课程建设的意见》，加强研究生课程建设，不断强化研究生实践动手能力，切实提高研究生科研创新能力，推进学校拔尖创新人才培养，根据工作安排，计划开展202</w:t>
      </w:r>
      <w:r>
        <w:rPr>
          <w:rFonts w:hint="eastAsia" w:ascii="仿宋_GB2312" w:eastAsia="仿宋_GB2312"/>
          <w:color w:val="000000"/>
          <w:sz w:val="32"/>
          <w:szCs w:val="32"/>
          <w:lang w:val="en-US" w:eastAsia="zh-CN"/>
        </w:rPr>
        <w:t>5</w:t>
      </w:r>
      <w:r>
        <w:rPr>
          <w:rFonts w:hint="eastAsia" w:ascii="仿宋_GB2312" w:eastAsia="仿宋_GB2312"/>
          <w:color w:val="000000"/>
          <w:sz w:val="32"/>
          <w:szCs w:val="32"/>
        </w:rPr>
        <w:t>年研究生公共实验课程建设申报工作，现将有关事宜通知如下：</w:t>
      </w:r>
    </w:p>
    <w:p w14:paraId="359AA535">
      <w:pPr>
        <w:pStyle w:val="6"/>
        <w:keepNext w:val="0"/>
        <w:keepLines w:val="0"/>
        <w:pageBreakBefore w:val="0"/>
        <w:widowControl/>
        <w:kinsoku/>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黑体" w:hAnsi="黑体" w:eastAsia="黑体" w:cs="黑体"/>
          <w:b/>
          <w:color w:val="000000"/>
          <w:sz w:val="32"/>
          <w:szCs w:val="32"/>
        </w:rPr>
      </w:pPr>
      <w:r>
        <w:rPr>
          <w:rFonts w:hint="eastAsia" w:ascii="黑体" w:hAnsi="黑体" w:eastAsia="黑体" w:cs="黑体"/>
          <w:b/>
          <w:color w:val="000000"/>
          <w:sz w:val="32"/>
          <w:szCs w:val="32"/>
        </w:rPr>
        <w:t>一、建设目标</w:t>
      </w:r>
    </w:p>
    <w:p w14:paraId="7E06CFA1">
      <w:pPr>
        <w:pStyle w:val="6"/>
        <w:keepNext w:val="0"/>
        <w:keepLines w:val="0"/>
        <w:pageBreakBefore w:val="0"/>
        <w:widowControl/>
        <w:kinsoku/>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以增强研究生实验动手能力、科研能力为目标，创新研究生实验教学内容，改进实验教学方法和手段，形成较为完善的研究生实验课程教学体系，全面提高教学质量和效果，培养拔尖创新人才。</w:t>
      </w:r>
    </w:p>
    <w:p w14:paraId="5B3325CD">
      <w:pPr>
        <w:pStyle w:val="6"/>
        <w:keepNext w:val="0"/>
        <w:keepLines w:val="0"/>
        <w:pageBreakBefore w:val="0"/>
        <w:widowControl/>
        <w:kinsoku/>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黑体" w:hAnsi="黑体" w:eastAsia="黑体" w:cs="黑体"/>
          <w:b/>
          <w:color w:val="000000"/>
          <w:sz w:val="32"/>
          <w:szCs w:val="32"/>
        </w:rPr>
      </w:pPr>
      <w:r>
        <w:rPr>
          <w:rFonts w:hint="eastAsia" w:ascii="黑体" w:hAnsi="黑体" w:eastAsia="黑体" w:cs="黑体"/>
          <w:b/>
          <w:color w:val="000000"/>
          <w:sz w:val="32"/>
          <w:szCs w:val="32"/>
        </w:rPr>
        <w:t>二、建设内容</w:t>
      </w:r>
    </w:p>
    <w:p w14:paraId="559439C7">
      <w:pPr>
        <w:pStyle w:val="6"/>
        <w:keepNext w:val="0"/>
        <w:keepLines w:val="0"/>
        <w:pageBreakBefore w:val="0"/>
        <w:widowControl/>
        <w:kinsoku/>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研究生公共实验课程要以一级学科和交叉学科为基础开展实验课程的开发和建设。</w:t>
      </w:r>
    </w:p>
    <w:p w14:paraId="2DD722AF">
      <w:pPr>
        <w:pStyle w:val="6"/>
        <w:keepNext w:val="0"/>
        <w:keepLines w:val="0"/>
        <w:pageBreakBefore w:val="0"/>
        <w:widowControl/>
        <w:kinsoku/>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（一）充分利用研究生公共实验课程教学平台资源，根据培养目标的要求，开发建设系列专题实验；</w:t>
      </w:r>
    </w:p>
    <w:p w14:paraId="4AD66F01">
      <w:pPr>
        <w:pStyle w:val="6"/>
        <w:keepNext w:val="0"/>
        <w:keepLines w:val="0"/>
        <w:pageBreakBefore w:val="0"/>
        <w:widowControl/>
        <w:kinsoku/>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（二）跟踪国际先进技术，将高水平科研成果提炼引入实验教学，利用学科交叉平台开发建设综合性实验和研究性实验；</w:t>
      </w:r>
    </w:p>
    <w:p w14:paraId="02DEC6CD">
      <w:pPr>
        <w:keepNext w:val="0"/>
        <w:keepLines w:val="0"/>
        <w:pageBreakBefore w:val="0"/>
        <w:widowControl/>
        <w:kinsoku/>
        <w:overflowPunct/>
        <w:topLinePunct w:val="0"/>
        <w:autoSpaceDE/>
        <w:autoSpaceDN/>
        <w:bidi w:val="0"/>
        <w:adjustRightInd/>
        <w:snapToGrid/>
        <w:spacing w:line="560" w:lineRule="exact"/>
        <w:ind w:firstLine="640" w:firstLineChars="200"/>
        <w:textAlignment w:val="auto"/>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（三）做好课程资源建设。课程资源主要包括教学大纲、教材、课件、视频等，具有丰富的扩充性学习资料，可供学生主动学习，基础较好的课程可建设网络开放课程。</w:t>
      </w:r>
    </w:p>
    <w:p w14:paraId="17BCC030">
      <w:pPr>
        <w:pStyle w:val="6"/>
        <w:keepNext w:val="0"/>
        <w:keepLines w:val="0"/>
        <w:pageBreakBefore w:val="0"/>
        <w:widowControl/>
        <w:kinsoku/>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黑体" w:hAnsi="黑体" w:eastAsia="黑体" w:cs="黑体"/>
          <w:b/>
          <w:bCs/>
          <w:color w:val="000000"/>
          <w:sz w:val="32"/>
          <w:szCs w:val="32"/>
        </w:rPr>
      </w:pPr>
      <w:r>
        <w:rPr>
          <w:rFonts w:hint="eastAsia" w:ascii="黑体" w:hAnsi="黑体" w:eastAsia="黑体" w:cs="黑体"/>
          <w:b/>
          <w:bCs/>
          <w:color w:val="000000"/>
          <w:sz w:val="32"/>
          <w:szCs w:val="32"/>
        </w:rPr>
        <w:t>三、申报程序</w:t>
      </w:r>
    </w:p>
    <w:p w14:paraId="6923726A">
      <w:pPr>
        <w:pStyle w:val="6"/>
        <w:keepNext w:val="0"/>
        <w:keepLines w:val="0"/>
        <w:pageBreakBefore w:val="0"/>
        <w:widowControl/>
        <w:kinsoku/>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楷体_GB2312" w:hAnsi="楷体_GB2312" w:eastAsia="楷体_GB2312" w:cs="楷体_GB2312"/>
          <w:color w:val="000000"/>
          <w:sz w:val="32"/>
          <w:szCs w:val="32"/>
        </w:rPr>
      </w:pPr>
      <w:r>
        <w:rPr>
          <w:rFonts w:hint="eastAsia" w:ascii="楷体_GB2312" w:hAnsi="楷体_GB2312" w:eastAsia="楷体_GB2312" w:cs="楷体_GB2312"/>
          <w:bCs/>
          <w:color w:val="000000"/>
          <w:sz w:val="32"/>
          <w:szCs w:val="32"/>
        </w:rPr>
        <w:t>（一）申报要求</w:t>
      </w:r>
      <w:bookmarkStart w:id="0" w:name="_GoBack"/>
      <w:bookmarkEnd w:id="0"/>
    </w:p>
    <w:p w14:paraId="43F36638">
      <w:pPr>
        <w:pStyle w:val="6"/>
        <w:keepNext w:val="0"/>
        <w:keepLines w:val="0"/>
        <w:pageBreakBefore w:val="0"/>
        <w:widowControl/>
        <w:kinsoku/>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hint="eastAsia" w:ascii="仿宋_GB2312" w:eastAsia="仿宋_GB2312"/>
          <w:color w:val="000000"/>
          <w:sz w:val="32"/>
          <w:szCs w:val="32"/>
        </w:rPr>
        <w:t>1、申报的研究生公共实验课程，要</w:t>
      </w:r>
      <w:r>
        <w:rPr>
          <w:rFonts w:hint="eastAsia" w:ascii="仿宋_GB2312" w:eastAsia="仿宋_GB2312"/>
          <w:sz w:val="32"/>
          <w:szCs w:val="32"/>
        </w:rPr>
        <w:t>充分依托研究生公共实验课程教学平台和学科交叉平台进行申报；</w:t>
      </w:r>
    </w:p>
    <w:p w14:paraId="48CBA4BF">
      <w:pPr>
        <w:pStyle w:val="6"/>
        <w:keepNext w:val="0"/>
        <w:keepLines w:val="0"/>
        <w:pageBreakBefore w:val="0"/>
        <w:widowControl/>
        <w:kinsoku/>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2、</w:t>
      </w:r>
      <w:r>
        <w:rPr>
          <w:rFonts w:hint="eastAsia" w:ascii="仿宋_GB2312" w:eastAsia="仿宋_GB2312"/>
          <w:sz w:val="32"/>
          <w:szCs w:val="32"/>
        </w:rPr>
        <w:t>申请立项的课程须为</w:t>
      </w:r>
      <w:r>
        <w:rPr>
          <w:rFonts w:hint="eastAsia" w:ascii="仿宋_GB2312" w:eastAsia="仿宋_GB2312"/>
          <w:b/>
          <w:sz w:val="32"/>
          <w:szCs w:val="32"/>
        </w:rPr>
        <w:t>现培养方案</w:t>
      </w:r>
      <w:r>
        <w:rPr>
          <w:rFonts w:hint="eastAsia" w:ascii="仿宋_GB2312" w:eastAsia="仿宋_GB2312"/>
          <w:sz w:val="32"/>
          <w:szCs w:val="32"/>
        </w:rPr>
        <w:t>中所列课程，</w:t>
      </w:r>
      <w:r>
        <w:rPr>
          <w:rFonts w:hint="eastAsia" w:ascii="仿宋_GB2312" w:eastAsia="仿宋_GB2312"/>
          <w:color w:val="000000"/>
          <w:sz w:val="32"/>
          <w:szCs w:val="32"/>
        </w:rPr>
        <w:t>有较好的课程基础，教学方法先进、学生受益面较大；</w:t>
      </w:r>
    </w:p>
    <w:p w14:paraId="5654B6DE">
      <w:pPr>
        <w:pStyle w:val="6"/>
        <w:keepNext w:val="0"/>
        <w:keepLines w:val="0"/>
        <w:pageBreakBefore w:val="0"/>
        <w:widowControl/>
        <w:kinsoku/>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3、项目建设目标和内容要符合上述的建设目标和建设内容。</w:t>
      </w:r>
    </w:p>
    <w:p w14:paraId="07D30FB3">
      <w:pPr>
        <w:pStyle w:val="6"/>
        <w:keepNext w:val="0"/>
        <w:keepLines w:val="0"/>
        <w:pageBreakBefore w:val="0"/>
        <w:widowControl/>
        <w:kinsoku/>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楷体_GB2312" w:hAnsi="楷体_GB2312" w:eastAsia="楷体_GB2312" w:cs="楷体_GB2312"/>
          <w:color w:val="000000"/>
          <w:sz w:val="32"/>
          <w:szCs w:val="32"/>
        </w:rPr>
      </w:pPr>
      <w:r>
        <w:rPr>
          <w:rFonts w:hint="eastAsia" w:ascii="楷体_GB2312" w:hAnsi="楷体_GB2312" w:eastAsia="楷体_GB2312" w:cs="楷体_GB2312"/>
          <w:bCs/>
          <w:color w:val="000000"/>
          <w:sz w:val="32"/>
          <w:szCs w:val="32"/>
        </w:rPr>
        <w:t>（二）申报程序</w:t>
      </w:r>
    </w:p>
    <w:p w14:paraId="3F2AC71F">
      <w:pPr>
        <w:pStyle w:val="6"/>
        <w:keepNext w:val="0"/>
        <w:keepLines w:val="0"/>
        <w:pageBreakBefore w:val="0"/>
        <w:widowControl/>
        <w:kinsoku/>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1、</w:t>
      </w:r>
      <w:r>
        <w:rPr>
          <w:rFonts w:hint="eastAsia" w:ascii="仿宋_GB2312" w:hAnsi="Times New Roman" w:eastAsia="仿宋_GB2312" w:cs="Times New Roman"/>
          <w:sz w:val="32"/>
          <w:szCs w:val="32"/>
        </w:rPr>
        <w:t>202</w:t>
      </w:r>
      <w:r>
        <w:rPr>
          <w:rFonts w:hint="eastAsia" w:ascii="仿宋_GB2312" w:hAnsi="Times New Roman" w:eastAsia="仿宋_GB2312" w:cs="Times New Roman"/>
          <w:sz w:val="32"/>
          <w:szCs w:val="32"/>
          <w:lang w:val="en-US" w:eastAsia="zh-CN"/>
        </w:rPr>
        <w:t>5</w:t>
      </w:r>
      <w:r>
        <w:rPr>
          <w:rFonts w:hint="eastAsia" w:ascii="仿宋_GB2312" w:eastAsia="仿宋_GB2312" w:cs="Times New Roman"/>
          <w:sz w:val="32"/>
          <w:szCs w:val="32"/>
        </w:rPr>
        <w:t>年</w:t>
      </w:r>
      <w:r>
        <w:rPr>
          <w:rFonts w:ascii="仿宋_GB2312" w:hAnsi="Times New Roman" w:eastAsia="仿宋_GB2312" w:cs="Times New Roman"/>
          <w:sz w:val="32"/>
          <w:szCs w:val="32"/>
        </w:rPr>
        <w:t>3</w:t>
      </w:r>
      <w:r>
        <w:rPr>
          <w:rFonts w:hint="eastAsia" w:ascii="仿宋_GB2312" w:eastAsia="仿宋_GB2312" w:cs="Times New Roman"/>
          <w:sz w:val="32"/>
          <w:szCs w:val="32"/>
        </w:rPr>
        <w:t>月</w:t>
      </w:r>
      <w:r>
        <w:rPr>
          <w:rFonts w:ascii="仿宋_GB2312" w:hAnsi="Times New Roman" w:eastAsia="仿宋_GB2312" w:cs="Times New Roman"/>
          <w:sz w:val="32"/>
          <w:szCs w:val="32"/>
        </w:rPr>
        <w:t>1</w:t>
      </w:r>
      <w:r>
        <w:rPr>
          <w:rFonts w:hint="eastAsia" w:ascii="仿宋_GB2312" w:hAnsi="Times New Roman" w:eastAsia="仿宋_GB2312" w:cs="Times New Roman"/>
          <w:sz w:val="32"/>
          <w:szCs w:val="32"/>
          <w:lang w:val="en-US" w:eastAsia="zh-CN"/>
        </w:rPr>
        <w:t>7</w:t>
      </w:r>
      <w:r>
        <w:rPr>
          <w:rFonts w:hint="eastAsia" w:ascii="仿宋_GB2312" w:eastAsia="仿宋_GB2312" w:cs="Times New Roman"/>
          <w:sz w:val="32"/>
          <w:szCs w:val="32"/>
        </w:rPr>
        <w:t>日前，</w:t>
      </w:r>
      <w:r>
        <w:rPr>
          <w:rFonts w:hint="eastAsia" w:ascii="仿宋_GB2312" w:eastAsia="仿宋_GB2312"/>
          <w:color w:val="000000"/>
          <w:sz w:val="32"/>
          <w:szCs w:val="32"/>
        </w:rPr>
        <w:t>课程负责人填写《武汉理工大学研究生公共实验课程建设项目申请表》(见附件4.1)并连同课程教学大纲一并报所在学院审核；</w:t>
      </w:r>
    </w:p>
    <w:p w14:paraId="18394DB8">
      <w:pPr>
        <w:pStyle w:val="6"/>
        <w:keepNext w:val="0"/>
        <w:keepLines w:val="0"/>
        <w:pageBreakBefore w:val="0"/>
        <w:widowControl/>
        <w:kinsoku/>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2、</w:t>
      </w:r>
      <w:r>
        <w:rPr>
          <w:rFonts w:hint="eastAsia" w:ascii="仿宋_GB2312" w:hAnsi="Times New Roman" w:eastAsia="仿宋_GB2312" w:cs="Times New Roman"/>
          <w:sz w:val="32"/>
          <w:szCs w:val="32"/>
        </w:rPr>
        <w:t>202</w:t>
      </w:r>
      <w:r>
        <w:rPr>
          <w:rFonts w:hint="eastAsia" w:ascii="仿宋_GB2312" w:hAnsi="Times New Roman" w:eastAsia="仿宋_GB2312" w:cs="Times New Roman"/>
          <w:sz w:val="32"/>
          <w:szCs w:val="32"/>
          <w:lang w:val="en-US" w:eastAsia="zh-CN"/>
        </w:rPr>
        <w:t>5</w:t>
      </w:r>
      <w:r>
        <w:rPr>
          <w:rFonts w:hint="eastAsia" w:ascii="仿宋_GB2312" w:eastAsia="仿宋_GB2312" w:cs="Times New Roman"/>
          <w:sz w:val="32"/>
          <w:szCs w:val="32"/>
        </w:rPr>
        <w:t>年</w:t>
      </w:r>
      <w:r>
        <w:rPr>
          <w:rFonts w:ascii="仿宋_GB2312" w:hAnsi="Times New Roman" w:eastAsia="仿宋_GB2312" w:cs="Times New Roman"/>
          <w:sz w:val="32"/>
          <w:szCs w:val="32"/>
        </w:rPr>
        <w:t>3</w:t>
      </w:r>
      <w:r>
        <w:rPr>
          <w:rFonts w:hint="eastAsia" w:ascii="仿宋_GB2312" w:eastAsia="仿宋_GB2312" w:cs="Times New Roman"/>
          <w:sz w:val="32"/>
          <w:szCs w:val="32"/>
        </w:rPr>
        <w:t>月</w:t>
      </w:r>
      <w:r>
        <w:rPr>
          <w:rFonts w:hint="eastAsia" w:ascii="仿宋_GB2312" w:eastAsia="仿宋_GB2312" w:cs="Times New Roman"/>
          <w:sz w:val="32"/>
          <w:szCs w:val="32"/>
          <w:lang w:val="en-US" w:eastAsia="zh-CN"/>
        </w:rPr>
        <w:t>19</w:t>
      </w:r>
      <w:r>
        <w:rPr>
          <w:rFonts w:hint="eastAsia" w:ascii="仿宋_GB2312" w:eastAsia="仿宋_GB2312" w:cs="Times New Roman"/>
          <w:sz w:val="32"/>
          <w:szCs w:val="32"/>
        </w:rPr>
        <w:t>日前，</w:t>
      </w:r>
      <w:r>
        <w:rPr>
          <w:rFonts w:hint="eastAsia" w:ascii="仿宋_GB2312" w:eastAsia="仿宋_GB2312"/>
          <w:color w:val="000000"/>
          <w:sz w:val="32"/>
          <w:szCs w:val="32"/>
        </w:rPr>
        <w:t>学院结合培养目标和已有的课程体系给出推荐意见，并将项目申请表及课程大纲</w:t>
      </w:r>
      <w:r>
        <w:rPr>
          <w:rFonts w:hint="eastAsia" w:ascii="仿宋_GB2312" w:eastAsia="仿宋_GB2312"/>
          <w:bCs/>
          <w:sz w:val="32"/>
          <w:szCs w:val="32"/>
        </w:rPr>
        <w:t>电子版（word版和签字盖章</w:t>
      </w:r>
      <w:r>
        <w:rPr>
          <w:rFonts w:ascii="仿宋_GB2312" w:eastAsia="仿宋_GB2312"/>
          <w:bCs/>
          <w:sz w:val="32"/>
          <w:szCs w:val="32"/>
        </w:rPr>
        <w:t>PDF版）</w:t>
      </w:r>
      <w:r>
        <w:rPr>
          <w:rFonts w:hint="eastAsia" w:ascii="仿宋_GB2312" w:eastAsia="仿宋_GB2312"/>
          <w:bCs/>
          <w:sz w:val="32"/>
          <w:szCs w:val="32"/>
        </w:rPr>
        <w:t>汇总</w:t>
      </w:r>
      <w:r>
        <w:rPr>
          <w:rFonts w:ascii="仿宋_GB2312" w:eastAsia="仿宋_GB2312"/>
          <w:bCs/>
          <w:sz w:val="32"/>
          <w:szCs w:val="32"/>
        </w:rPr>
        <w:t>发送至</w:t>
      </w:r>
      <w:r>
        <w:rPr>
          <w:rFonts w:hint="eastAsia" w:ascii="仿宋_GB2312" w:eastAsia="仿宋_GB2312"/>
          <w:bCs/>
          <w:sz w:val="32"/>
          <w:szCs w:val="32"/>
        </w:rPr>
        <w:t>研究生院</w:t>
      </w:r>
      <w:r>
        <w:rPr>
          <w:rFonts w:hint="eastAsia" w:ascii="仿宋_GB2312" w:eastAsia="仿宋_GB2312"/>
          <w:bCs/>
          <w:sz w:val="32"/>
          <w:szCs w:val="32"/>
          <w:lang w:val="en-US" w:eastAsia="zh-CN"/>
        </w:rPr>
        <w:t>教研管理科</w:t>
      </w:r>
      <w:r>
        <w:rPr>
          <w:rFonts w:hint="eastAsia" w:ascii="仿宋_GB2312" w:eastAsia="仿宋_GB2312"/>
          <w:color w:val="000000"/>
          <w:sz w:val="32"/>
          <w:szCs w:val="32"/>
        </w:rPr>
        <w:t>；</w:t>
      </w:r>
    </w:p>
    <w:p w14:paraId="3DC5E9EE">
      <w:pPr>
        <w:pStyle w:val="6"/>
        <w:keepNext w:val="0"/>
        <w:keepLines w:val="0"/>
        <w:pageBreakBefore w:val="0"/>
        <w:widowControl/>
        <w:kinsoku/>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3、研究生院组织专家进行评审并公示结果，无异议后立项建设。</w:t>
      </w:r>
    </w:p>
    <w:p w14:paraId="76AB8AD6">
      <w:pPr>
        <w:pStyle w:val="6"/>
        <w:keepNext w:val="0"/>
        <w:keepLines w:val="0"/>
        <w:pageBreakBefore w:val="0"/>
        <w:widowControl/>
        <w:kinsoku/>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黑体" w:hAnsi="黑体" w:eastAsia="黑体" w:cs="黑体"/>
          <w:b/>
          <w:bCs/>
          <w:color w:val="000000"/>
          <w:sz w:val="32"/>
          <w:szCs w:val="32"/>
        </w:rPr>
      </w:pPr>
      <w:r>
        <w:rPr>
          <w:rFonts w:hint="eastAsia" w:ascii="黑体" w:hAnsi="黑体" w:eastAsia="黑体" w:cs="黑体"/>
          <w:b/>
          <w:bCs/>
          <w:color w:val="000000"/>
          <w:sz w:val="32"/>
          <w:szCs w:val="32"/>
        </w:rPr>
        <w:t>四、项目管理</w:t>
      </w:r>
    </w:p>
    <w:p w14:paraId="77CB2B67">
      <w:pPr>
        <w:pStyle w:val="6"/>
        <w:keepNext w:val="0"/>
        <w:keepLines w:val="0"/>
        <w:pageBreakBefore w:val="0"/>
        <w:widowControl/>
        <w:kinsoku/>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（一）经费支持</w:t>
      </w:r>
    </w:p>
    <w:p w14:paraId="74B30E43">
      <w:pPr>
        <w:pStyle w:val="6"/>
        <w:keepNext w:val="0"/>
        <w:keepLines w:val="0"/>
        <w:pageBreakBefore w:val="0"/>
        <w:widowControl/>
        <w:kinsoku/>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经批准的研究生公共实验课程建设项目的资助标准</w:t>
      </w:r>
      <w:r>
        <w:rPr>
          <w:rFonts w:hint="eastAsia" w:ascii="仿宋_GB2312" w:eastAsia="仿宋_GB2312"/>
          <w:sz w:val="32"/>
          <w:szCs w:val="32"/>
        </w:rPr>
        <w:t>为：申报课程中每个实验环节学时1000元；</w:t>
      </w:r>
      <w:r>
        <w:rPr>
          <w:rFonts w:hint="eastAsia" w:ascii="仿宋_GB2312" w:eastAsia="仿宋_GB2312"/>
          <w:color w:val="000000"/>
          <w:sz w:val="32"/>
          <w:szCs w:val="32"/>
        </w:rPr>
        <w:t>项目立项后，研究生院拨付50%的项目启动经费，待项目验收完成后拨付余下50%经费。</w:t>
      </w:r>
    </w:p>
    <w:p w14:paraId="322B95D2">
      <w:pPr>
        <w:pStyle w:val="6"/>
        <w:keepNext w:val="0"/>
        <w:keepLines w:val="0"/>
        <w:pageBreakBefore w:val="0"/>
        <w:widowControl/>
        <w:kinsoku/>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（二）建设周期</w:t>
      </w:r>
    </w:p>
    <w:p w14:paraId="74AB15D0">
      <w:pPr>
        <w:pStyle w:val="6"/>
        <w:keepNext w:val="0"/>
        <w:keepLines w:val="0"/>
        <w:pageBreakBefore w:val="0"/>
        <w:widowControl/>
        <w:kinsoku/>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项目建设周期不超过2年。</w:t>
      </w:r>
    </w:p>
    <w:p w14:paraId="7EC20681">
      <w:pPr>
        <w:pStyle w:val="6"/>
        <w:keepNext w:val="0"/>
        <w:keepLines w:val="0"/>
        <w:pageBreakBefore w:val="0"/>
        <w:widowControl/>
        <w:kinsoku/>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（三）项目管理</w:t>
      </w:r>
    </w:p>
    <w:p w14:paraId="50C052C0">
      <w:pPr>
        <w:pStyle w:val="6"/>
        <w:keepNext w:val="0"/>
        <w:keepLines w:val="0"/>
        <w:pageBreakBefore w:val="0"/>
        <w:widowControl/>
        <w:kinsoku/>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bCs/>
          <w:color w:val="000000"/>
          <w:sz w:val="32"/>
          <w:szCs w:val="32"/>
        </w:rPr>
      </w:pPr>
      <w:r>
        <w:rPr>
          <w:rFonts w:hint="eastAsia" w:ascii="仿宋_GB2312" w:eastAsia="仿宋_GB2312"/>
          <w:color w:val="000000"/>
          <w:sz w:val="32"/>
          <w:szCs w:val="32"/>
        </w:rPr>
        <w:t>1、</w:t>
      </w:r>
      <w:r>
        <w:rPr>
          <w:rFonts w:hint="eastAsia" w:ascii="仿宋_GB2312" w:eastAsia="仿宋_GB2312"/>
          <w:bCs/>
          <w:color w:val="000000"/>
          <w:sz w:val="32"/>
          <w:szCs w:val="32"/>
        </w:rPr>
        <w:t>各学院要高度重视研究生课程建设，将研究生公共实验课程纳入研究生课程体系进行整体规划建设，对申报的项目进行科学论证，对立项项目加强监督检查，确保建设进度和建设效果。</w:t>
      </w:r>
    </w:p>
    <w:p w14:paraId="4DDB8EA4">
      <w:pPr>
        <w:pStyle w:val="6"/>
        <w:keepNext w:val="0"/>
        <w:keepLines w:val="0"/>
        <w:pageBreakBefore w:val="0"/>
        <w:widowControl/>
        <w:kinsoku/>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2、项目建设成果，需在研究生院网站进行公开展示，上传课程相关内容。</w:t>
      </w:r>
    </w:p>
    <w:p w14:paraId="74181044">
      <w:pPr>
        <w:pStyle w:val="6"/>
        <w:keepNext w:val="0"/>
        <w:keepLines w:val="0"/>
        <w:pageBreakBefore w:val="0"/>
        <w:widowControl/>
        <w:kinsoku/>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3、建设中期研究生院将根据各个课程提交的课表进行听课检查，主要关注课程教学质量、教学效果、教学形式等；项目建设结束，项目申请人提交项目结题报告，经学院审核后报研究生院，研究生院将组织专家进行验收。</w:t>
      </w:r>
    </w:p>
    <w:p w14:paraId="746A4D99">
      <w:pPr>
        <w:pStyle w:val="6"/>
        <w:keepNext w:val="0"/>
        <w:keepLines w:val="0"/>
        <w:pageBreakBefore w:val="0"/>
        <w:widowControl/>
        <w:kinsoku/>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4、课程验收结果纳入学院年度二级目标考核指标进行考核。</w:t>
      </w:r>
    </w:p>
    <w:p w14:paraId="5C5E1B51">
      <w:pPr>
        <w:pStyle w:val="6"/>
        <w:keepNext w:val="0"/>
        <w:keepLines w:val="0"/>
        <w:pageBreakBefore w:val="0"/>
        <w:widowControl/>
        <w:kinsoku/>
        <w:overflowPunct/>
        <w:topLinePunct w:val="0"/>
        <w:autoSpaceDE/>
        <w:autoSpaceDN/>
        <w:bidi w:val="0"/>
        <w:adjustRightInd/>
        <w:snapToGrid/>
        <w:spacing w:before="0" w:beforeAutospacing="0" w:after="0" w:afterAutospacing="0" w:line="560" w:lineRule="exact"/>
        <w:ind w:firstLine="0"/>
        <w:jc w:val="both"/>
        <w:textAlignment w:val="auto"/>
        <w:rPr>
          <w:rFonts w:ascii="仿宋_GB2312" w:eastAsia="仿宋_GB2312"/>
          <w:color w:val="000000"/>
          <w:sz w:val="32"/>
          <w:szCs w:val="32"/>
        </w:rPr>
      </w:pPr>
    </w:p>
    <w:p w14:paraId="536B7760">
      <w:pPr>
        <w:pStyle w:val="6"/>
        <w:keepNext w:val="0"/>
        <w:keepLines w:val="0"/>
        <w:pageBreakBefore w:val="0"/>
        <w:widowControl/>
        <w:kinsoku/>
        <w:overflowPunct/>
        <w:topLinePunct w:val="0"/>
        <w:autoSpaceDE/>
        <w:autoSpaceDN/>
        <w:bidi w:val="0"/>
        <w:adjustRightInd/>
        <w:snapToGrid/>
        <w:spacing w:before="0" w:beforeAutospacing="0" w:after="0" w:afterAutospacing="0" w:line="560" w:lineRule="exact"/>
        <w:ind w:firstLine="0"/>
        <w:jc w:val="both"/>
        <w:textAlignment w:val="auto"/>
        <w:rPr>
          <w:rFonts w:ascii="仿宋_GB2312" w:eastAsia="仿宋_GB2312"/>
          <w:color w:val="000000"/>
          <w:sz w:val="32"/>
          <w:szCs w:val="32"/>
        </w:rPr>
      </w:pPr>
    </w:p>
    <w:p w14:paraId="3180C57E">
      <w:pPr>
        <w:pStyle w:val="6"/>
        <w:keepNext w:val="0"/>
        <w:keepLines w:val="0"/>
        <w:pageBreakBefore w:val="0"/>
        <w:widowControl/>
        <w:kinsoku/>
        <w:wordWrap w:val="0"/>
        <w:overflowPunct/>
        <w:topLinePunct w:val="0"/>
        <w:autoSpaceDE/>
        <w:autoSpaceDN/>
        <w:bidi w:val="0"/>
        <w:adjustRightInd/>
        <w:snapToGrid/>
        <w:spacing w:before="0" w:beforeAutospacing="0" w:after="0" w:afterAutospacing="0" w:line="560" w:lineRule="exact"/>
        <w:ind w:firstLine="0"/>
        <w:jc w:val="right"/>
        <w:textAlignment w:val="auto"/>
        <w:rPr>
          <w:rFonts w:ascii="仿宋_GB2312" w:eastAsia="仿宋_GB2312"/>
          <w:color w:val="000000"/>
          <w:sz w:val="32"/>
          <w:szCs w:val="32"/>
        </w:rPr>
      </w:pPr>
      <w:r>
        <w:rPr>
          <w:rFonts w:hint="eastAsia" w:ascii="仿宋_GB2312" w:eastAsia="仿宋_GB2312"/>
          <w:color w:val="000000"/>
          <w:sz w:val="32"/>
          <w:szCs w:val="32"/>
        </w:rPr>
        <w:t xml:space="preserve">研究生院 </w:t>
      </w:r>
      <w:r>
        <w:rPr>
          <w:rFonts w:ascii="仿宋_GB2312" w:eastAsia="仿宋_GB2312"/>
          <w:color w:val="000000"/>
          <w:sz w:val="32"/>
          <w:szCs w:val="32"/>
        </w:rPr>
        <w:t xml:space="preserve">  </w:t>
      </w:r>
    </w:p>
    <w:p w14:paraId="0A3CA75B">
      <w:pPr>
        <w:pStyle w:val="6"/>
        <w:keepNext w:val="0"/>
        <w:keepLines w:val="0"/>
        <w:pageBreakBefore w:val="0"/>
        <w:widowControl/>
        <w:kinsoku/>
        <w:overflowPunct/>
        <w:topLinePunct w:val="0"/>
        <w:autoSpaceDE/>
        <w:autoSpaceDN/>
        <w:bidi w:val="0"/>
        <w:adjustRightInd/>
        <w:snapToGrid/>
        <w:spacing w:before="0" w:beforeAutospacing="0" w:after="0" w:afterAutospacing="0" w:line="560" w:lineRule="exact"/>
        <w:ind w:firstLine="0"/>
        <w:jc w:val="right"/>
        <w:textAlignment w:val="auto"/>
        <w:rPr>
          <w:rFonts w:ascii="仿宋_GB2312" w:eastAsia="仿宋_GB2312"/>
          <w:color w:val="000000"/>
          <w:sz w:val="32"/>
          <w:szCs w:val="32"/>
        </w:rPr>
      </w:pP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5</w:t>
      </w:r>
      <w:r>
        <w:rPr>
          <w:rFonts w:hint="eastAsia" w:ascii="仿宋_GB2312" w:eastAsia="仿宋_GB2312"/>
          <w:color w:val="000000"/>
          <w:sz w:val="32"/>
          <w:szCs w:val="32"/>
        </w:rPr>
        <w:t>年</w:t>
      </w:r>
      <w:r>
        <w:rPr>
          <w:rFonts w:ascii="仿宋_GB2312" w:eastAsia="仿宋_GB2312"/>
          <w:color w:val="000000"/>
          <w:sz w:val="32"/>
          <w:szCs w:val="32"/>
        </w:rPr>
        <w:t>3</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7</w:t>
      </w:r>
      <w:r>
        <w:rPr>
          <w:rFonts w:hint="eastAsia" w:ascii="仿宋_GB2312" w:eastAsia="仿宋_GB2312"/>
          <w:color w:val="000000"/>
          <w:sz w:val="32"/>
          <w:szCs w:val="32"/>
        </w:rPr>
        <w:t>日</w:t>
      </w:r>
    </w:p>
    <w:sectPr>
      <w:pgSz w:w="11906" w:h="16838"/>
      <w:pgMar w:top="1191" w:right="1474" w:bottom="119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63C"/>
    <w:rsid w:val="00012D95"/>
    <w:rsid w:val="00030B13"/>
    <w:rsid w:val="000528DB"/>
    <w:rsid w:val="00082A38"/>
    <w:rsid w:val="000B0CE2"/>
    <w:rsid w:val="000C3B8C"/>
    <w:rsid w:val="000D26DB"/>
    <w:rsid w:val="000F4140"/>
    <w:rsid w:val="001104CD"/>
    <w:rsid w:val="00113955"/>
    <w:rsid w:val="00120137"/>
    <w:rsid w:val="0013362B"/>
    <w:rsid w:val="001426EC"/>
    <w:rsid w:val="00180764"/>
    <w:rsid w:val="00184C08"/>
    <w:rsid w:val="001A620E"/>
    <w:rsid w:val="001C0A46"/>
    <w:rsid w:val="001E6F23"/>
    <w:rsid w:val="001F3105"/>
    <w:rsid w:val="001F7FD1"/>
    <w:rsid w:val="0020220A"/>
    <w:rsid w:val="00230B3A"/>
    <w:rsid w:val="00232413"/>
    <w:rsid w:val="00285323"/>
    <w:rsid w:val="002A1271"/>
    <w:rsid w:val="002C57B8"/>
    <w:rsid w:val="002F2A4A"/>
    <w:rsid w:val="002F2DA4"/>
    <w:rsid w:val="003047BD"/>
    <w:rsid w:val="00306733"/>
    <w:rsid w:val="00330BA7"/>
    <w:rsid w:val="0033552D"/>
    <w:rsid w:val="00340E89"/>
    <w:rsid w:val="003546D7"/>
    <w:rsid w:val="00364466"/>
    <w:rsid w:val="0038364B"/>
    <w:rsid w:val="003A0E03"/>
    <w:rsid w:val="003B5C0C"/>
    <w:rsid w:val="003C1FB3"/>
    <w:rsid w:val="003C65E7"/>
    <w:rsid w:val="003D0288"/>
    <w:rsid w:val="003D3BCD"/>
    <w:rsid w:val="003E5130"/>
    <w:rsid w:val="003F29D4"/>
    <w:rsid w:val="003F34E5"/>
    <w:rsid w:val="003F484D"/>
    <w:rsid w:val="00404608"/>
    <w:rsid w:val="00437BD7"/>
    <w:rsid w:val="0044262A"/>
    <w:rsid w:val="00457B79"/>
    <w:rsid w:val="00463211"/>
    <w:rsid w:val="004667F6"/>
    <w:rsid w:val="0047312B"/>
    <w:rsid w:val="00477C13"/>
    <w:rsid w:val="00492A1F"/>
    <w:rsid w:val="004B7A24"/>
    <w:rsid w:val="004C4F4B"/>
    <w:rsid w:val="004C59E9"/>
    <w:rsid w:val="004C751B"/>
    <w:rsid w:val="004D0160"/>
    <w:rsid w:val="00523474"/>
    <w:rsid w:val="0052626F"/>
    <w:rsid w:val="0057699D"/>
    <w:rsid w:val="00591CF5"/>
    <w:rsid w:val="00593A81"/>
    <w:rsid w:val="005A0E65"/>
    <w:rsid w:val="005A37A3"/>
    <w:rsid w:val="005A6DD4"/>
    <w:rsid w:val="005C6E68"/>
    <w:rsid w:val="005D1839"/>
    <w:rsid w:val="005D63E3"/>
    <w:rsid w:val="005E58E3"/>
    <w:rsid w:val="00600AF4"/>
    <w:rsid w:val="0060403A"/>
    <w:rsid w:val="00612DE0"/>
    <w:rsid w:val="00635B62"/>
    <w:rsid w:val="00654B32"/>
    <w:rsid w:val="00674EFD"/>
    <w:rsid w:val="00690077"/>
    <w:rsid w:val="006A059D"/>
    <w:rsid w:val="006B2601"/>
    <w:rsid w:val="006D0218"/>
    <w:rsid w:val="006E0BFD"/>
    <w:rsid w:val="006E6F98"/>
    <w:rsid w:val="006F2324"/>
    <w:rsid w:val="006F3E40"/>
    <w:rsid w:val="00707E08"/>
    <w:rsid w:val="00727077"/>
    <w:rsid w:val="0076069A"/>
    <w:rsid w:val="00762B9B"/>
    <w:rsid w:val="00765D2E"/>
    <w:rsid w:val="007672AA"/>
    <w:rsid w:val="00774531"/>
    <w:rsid w:val="00780B6A"/>
    <w:rsid w:val="00794441"/>
    <w:rsid w:val="00794487"/>
    <w:rsid w:val="007C2D6B"/>
    <w:rsid w:val="007D701C"/>
    <w:rsid w:val="007F2A3E"/>
    <w:rsid w:val="00805051"/>
    <w:rsid w:val="008428B9"/>
    <w:rsid w:val="0084684D"/>
    <w:rsid w:val="0087599F"/>
    <w:rsid w:val="00887A98"/>
    <w:rsid w:val="008A5D68"/>
    <w:rsid w:val="008B42B1"/>
    <w:rsid w:val="008C30F7"/>
    <w:rsid w:val="009034D2"/>
    <w:rsid w:val="00946371"/>
    <w:rsid w:val="00964E25"/>
    <w:rsid w:val="00965481"/>
    <w:rsid w:val="00983B4F"/>
    <w:rsid w:val="009C67E9"/>
    <w:rsid w:val="009E64B2"/>
    <w:rsid w:val="009F4ED1"/>
    <w:rsid w:val="00A02A7E"/>
    <w:rsid w:val="00A0320D"/>
    <w:rsid w:val="00A07713"/>
    <w:rsid w:val="00A2697F"/>
    <w:rsid w:val="00A31E11"/>
    <w:rsid w:val="00A514A3"/>
    <w:rsid w:val="00A528CA"/>
    <w:rsid w:val="00A64575"/>
    <w:rsid w:val="00A715A2"/>
    <w:rsid w:val="00AA2659"/>
    <w:rsid w:val="00AC07CD"/>
    <w:rsid w:val="00AC1F19"/>
    <w:rsid w:val="00AD4AD4"/>
    <w:rsid w:val="00B00272"/>
    <w:rsid w:val="00B034AF"/>
    <w:rsid w:val="00BA57A4"/>
    <w:rsid w:val="00BC42E3"/>
    <w:rsid w:val="00BD75C5"/>
    <w:rsid w:val="00BE34E0"/>
    <w:rsid w:val="00BF03CC"/>
    <w:rsid w:val="00C1132C"/>
    <w:rsid w:val="00C40090"/>
    <w:rsid w:val="00C42621"/>
    <w:rsid w:val="00C4279D"/>
    <w:rsid w:val="00C8297A"/>
    <w:rsid w:val="00CA3E59"/>
    <w:rsid w:val="00CB7C07"/>
    <w:rsid w:val="00CD642A"/>
    <w:rsid w:val="00CE0336"/>
    <w:rsid w:val="00D03D96"/>
    <w:rsid w:val="00D10435"/>
    <w:rsid w:val="00D13AAB"/>
    <w:rsid w:val="00D15734"/>
    <w:rsid w:val="00D22391"/>
    <w:rsid w:val="00D31BDA"/>
    <w:rsid w:val="00D3244F"/>
    <w:rsid w:val="00D65B2C"/>
    <w:rsid w:val="00D918FC"/>
    <w:rsid w:val="00DB41DD"/>
    <w:rsid w:val="00DD3DA2"/>
    <w:rsid w:val="00E03B60"/>
    <w:rsid w:val="00E15D5B"/>
    <w:rsid w:val="00E36D51"/>
    <w:rsid w:val="00E40C54"/>
    <w:rsid w:val="00E42F38"/>
    <w:rsid w:val="00E94C54"/>
    <w:rsid w:val="00E961E2"/>
    <w:rsid w:val="00EA3F38"/>
    <w:rsid w:val="00ED511A"/>
    <w:rsid w:val="00EF55FB"/>
    <w:rsid w:val="00F00C40"/>
    <w:rsid w:val="00F268DE"/>
    <w:rsid w:val="00F37A40"/>
    <w:rsid w:val="00F4363C"/>
    <w:rsid w:val="00F44E83"/>
    <w:rsid w:val="00F47960"/>
    <w:rsid w:val="00F47AA2"/>
    <w:rsid w:val="00F50087"/>
    <w:rsid w:val="00F75054"/>
    <w:rsid w:val="00F770D3"/>
    <w:rsid w:val="00FB7FCA"/>
    <w:rsid w:val="05502988"/>
    <w:rsid w:val="29433956"/>
    <w:rsid w:val="2C2810BD"/>
    <w:rsid w:val="325643C7"/>
    <w:rsid w:val="3F487C50"/>
    <w:rsid w:val="6EF26577"/>
    <w:rsid w:val="723F2CA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Balloon Text"/>
    <w:basedOn w:val="1"/>
    <w:link w:val="11"/>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ind w:firstLine="360"/>
      <w:jc w:val="left"/>
    </w:pPr>
    <w:rPr>
      <w:rFonts w:ascii="宋体" w:hAnsi="宋体" w:eastAsia="宋体" w:cs="宋体"/>
      <w:kern w:val="0"/>
      <w:sz w:val="24"/>
      <w:szCs w:val="24"/>
    </w:r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批注框文本 字符"/>
    <w:basedOn w:val="8"/>
    <w:link w:val="3"/>
    <w:semiHidden/>
    <w:qFormat/>
    <w:uiPriority w:val="99"/>
    <w:rPr>
      <w:sz w:val="18"/>
      <w:szCs w:val="18"/>
    </w:rPr>
  </w:style>
  <w:style w:type="character" w:customStyle="1" w:styleId="12">
    <w:name w:val="日期 字符"/>
    <w:basedOn w:val="8"/>
    <w:link w:val="2"/>
    <w:semiHidden/>
    <w:qFormat/>
    <w:uiPriority w:val="9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yjsy</Company>
  <Pages>3</Pages>
  <Words>1130</Words>
  <Characters>1162</Characters>
  <Lines>8</Lines>
  <Paragraphs>2</Paragraphs>
  <TotalTime>63</TotalTime>
  <ScaleCrop>false</ScaleCrop>
  <LinksUpToDate>false</LinksUpToDate>
  <CharactersWithSpaces>1165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2016-06-03T08:18:00Z</dcterms:created>
  <dc:creator>ZSX</dc:creator>
  <cp:lastModifiedBy>Administrator</cp:lastModifiedBy>
  <cp:lastPrinted>2016-06-03T06:34:00Z</cp:lastPrinted>
  <dcterms:modified xsi:type="dcterms:W3CDTF">2025-03-07T03:41:20Z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eyJoZGlkIjoiOTMwOTJlNzhmN2FkMWMwMmQ4MjY4YWVjZjQ2ZjY3N2UiLCJ1c2VySWQiOiIxNjA1OTc0ODQzIn0=</vt:lpwstr>
  </property>
  <property fmtid="{D5CDD505-2E9C-101B-9397-08002B2CF9AE}" pid="3" name="KSOProductBuildVer">
    <vt:lpwstr>2052-12.1.0.19302</vt:lpwstr>
  </property>
  <property fmtid="{D5CDD505-2E9C-101B-9397-08002B2CF9AE}" pid="4" name="ICV">
    <vt:lpwstr>6BE51E7A47AD4AB485F72FD92BB066D2_13</vt:lpwstr>
  </property>
</Properties>
</file>