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780AD">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hAnsiTheme="minorEastAsia"/>
          <w:sz w:val="44"/>
          <w:szCs w:val="44"/>
        </w:rPr>
      </w:pPr>
      <w:r>
        <w:rPr>
          <w:rFonts w:hint="eastAsia" w:ascii="方正小标宋简体" w:eastAsia="方正小标宋简体" w:hAnsiTheme="minorEastAsia"/>
          <w:sz w:val="44"/>
          <w:szCs w:val="44"/>
        </w:rPr>
        <w:t>202</w:t>
      </w:r>
      <w:r>
        <w:rPr>
          <w:rFonts w:hint="eastAsia" w:ascii="方正小标宋简体" w:eastAsia="方正小标宋简体" w:hAnsiTheme="minorEastAsia"/>
          <w:sz w:val="44"/>
          <w:szCs w:val="44"/>
          <w:lang w:val="en-US" w:eastAsia="zh-CN"/>
        </w:rPr>
        <w:t>5</w:t>
      </w:r>
      <w:r>
        <w:rPr>
          <w:rFonts w:hint="eastAsia" w:ascii="方正小标宋简体" w:eastAsia="方正小标宋简体" w:hAnsiTheme="minorEastAsia"/>
          <w:sz w:val="44"/>
          <w:szCs w:val="44"/>
        </w:rPr>
        <w:t>年武汉理工大学研究生在线开放课程建设项目实施细则</w:t>
      </w:r>
    </w:p>
    <w:p w14:paraId="5072B311">
      <w:pPr>
        <w:keepNext w:val="0"/>
        <w:keepLines w:val="0"/>
        <w:pageBreakBefore w:val="0"/>
        <w:kinsoku/>
        <w:wordWrap/>
        <w:overflowPunct/>
        <w:topLinePunct w:val="0"/>
        <w:autoSpaceDE/>
        <w:autoSpaceDN/>
        <w:bidi w:val="0"/>
        <w:adjustRightInd/>
        <w:snapToGrid/>
        <w:spacing w:line="560" w:lineRule="exact"/>
        <w:jc w:val="center"/>
        <w:textAlignment w:val="auto"/>
        <w:rPr>
          <w:rFonts w:asciiTheme="minorEastAsia" w:hAnsiTheme="minorEastAsia"/>
          <w:sz w:val="28"/>
          <w:szCs w:val="28"/>
        </w:rPr>
      </w:pPr>
    </w:p>
    <w:p w14:paraId="36F62A0E">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hAnsiTheme="minorEastAsia"/>
          <w:sz w:val="32"/>
          <w:szCs w:val="32"/>
        </w:rPr>
      </w:pPr>
      <w:r>
        <w:rPr>
          <w:rFonts w:hint="eastAsia" w:ascii="仿宋_GB2312" w:eastAsia="仿宋_GB2312" w:hAnsiTheme="minorEastAsia"/>
          <w:sz w:val="32"/>
          <w:szCs w:val="32"/>
        </w:rPr>
        <w:t>各研究生培养单位：</w:t>
      </w:r>
    </w:p>
    <w:p w14:paraId="191DD9A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为贯彻《教育部关于改进和加强研究生课程建设的意见》和落实《教育部关于加强高等学校在线开放课程建设应用与管理的意见》要求，现启动我校研究生在线开放课程建设项目申报工作，现将有关事项通知如下：</w:t>
      </w:r>
    </w:p>
    <w:p w14:paraId="7042A7F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一、建设目标</w:t>
      </w:r>
    </w:p>
    <w:p w14:paraId="26FFF5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依托学科、行业优势，组织一批优秀教师开展研究生在线开放课程的设计和建设工作，建设、认定和开放一批具有我校特色的研究生在线开放课程和课程资源。</w:t>
      </w:r>
    </w:p>
    <w:p w14:paraId="49446E0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二、建设模式</w:t>
      </w:r>
    </w:p>
    <w:p w14:paraId="7C1BF05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研究生在线开放课程采用项目的方式进行建设，包括项目立项、项目建设、项目验收和项目认定等工作。课程项目建设周期不超过两年。</w:t>
      </w:r>
    </w:p>
    <w:p w14:paraId="47B176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研究生在线开放课程采用“先建设，后认定”的方式进行管理，在</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学堂在线</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课程平台</w:t>
      </w:r>
      <w:r>
        <w:rPr>
          <w:rFonts w:hint="eastAsia" w:ascii="仿宋_GB2312" w:eastAsia="仿宋_GB2312" w:hAnsiTheme="minorEastAsia"/>
          <w:sz w:val="32"/>
          <w:szCs w:val="32"/>
        </w:rPr>
        <w:t>上上线运行。</w:t>
      </w:r>
    </w:p>
    <w:p w14:paraId="6D43BCA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三、建设内容</w:t>
      </w:r>
    </w:p>
    <w:p w14:paraId="44F094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eastAsia="仿宋_GB2312" w:hAnsiTheme="minorEastAsia"/>
          <w:sz w:val="32"/>
          <w:szCs w:val="32"/>
        </w:rPr>
        <w:t>在线开放课程建设分为课程资源建设和课程上线运行两部分内容。课程项目资源建设内容包括</w:t>
      </w:r>
      <w:r>
        <w:rPr>
          <w:rFonts w:hint="eastAsia" w:ascii="仿宋_GB2312" w:hAnsi="仿宋" w:eastAsia="仿宋_GB2312"/>
          <w:sz w:val="32"/>
          <w:szCs w:val="32"/>
        </w:rPr>
        <w:t>课程概述、授课大纲和教学日历、证书要求、教学视频、教学资料、课堂讨论、测验作业</w:t>
      </w:r>
      <w:r>
        <w:rPr>
          <w:rFonts w:hint="eastAsia" w:ascii="仿宋_GB2312" w:eastAsia="仿宋_GB2312" w:hAnsiTheme="minorEastAsia"/>
          <w:sz w:val="32"/>
          <w:szCs w:val="32"/>
        </w:rPr>
        <w:t>等内容。课程上线运行是指课程项目须在</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学堂在线</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课程平台</w:t>
      </w:r>
      <w:r>
        <w:rPr>
          <w:rFonts w:hint="eastAsia" w:ascii="仿宋_GB2312" w:eastAsia="仿宋_GB2312" w:hAnsiTheme="minorEastAsia"/>
          <w:sz w:val="32"/>
          <w:szCs w:val="32"/>
        </w:rPr>
        <w:t>投入使用，采用基于MOOC或SPOC的线上线下“混合式教学”模式或“翻转课堂”教学模式进行至少一轮的授课实践，</w:t>
      </w:r>
      <w:r>
        <w:rPr>
          <w:rFonts w:hint="eastAsia" w:ascii="仿宋_GB2312" w:eastAsia="仿宋_GB2312" w:hAnsiTheme="minorEastAsia"/>
          <w:sz w:val="32"/>
          <w:szCs w:val="32"/>
          <w:highlight w:val="none"/>
        </w:rPr>
        <w:t>其中</w:t>
      </w:r>
      <w:r>
        <w:rPr>
          <w:rFonts w:hint="eastAsia" w:ascii="仿宋_GB2312" w:hAnsi="仿宋" w:eastAsia="仿宋_GB2312"/>
          <w:sz w:val="32"/>
          <w:szCs w:val="32"/>
          <w:highlight w:val="none"/>
        </w:rPr>
        <w:t>公共学位课</w:t>
      </w:r>
      <w:r>
        <w:rPr>
          <w:rFonts w:hint="eastAsia" w:ascii="仿宋_GB2312" w:hAnsi="仿宋" w:eastAsia="仿宋_GB2312"/>
          <w:sz w:val="32"/>
          <w:szCs w:val="32"/>
          <w:highlight w:val="none"/>
          <w:lang w:val="en-US" w:eastAsia="zh-CN"/>
        </w:rPr>
        <w:t>的</w:t>
      </w:r>
      <w:r>
        <w:rPr>
          <w:rFonts w:hint="eastAsia" w:ascii="仿宋_GB2312" w:hAnsi="仿宋" w:eastAsia="仿宋_GB2312"/>
          <w:sz w:val="32"/>
          <w:szCs w:val="32"/>
          <w:highlight w:val="none"/>
        </w:rPr>
        <w:t>面授时间不得少于总学时的</w:t>
      </w:r>
      <w:r>
        <w:rPr>
          <w:rFonts w:ascii="仿宋_GB2312" w:hAnsi="仿宋" w:eastAsia="仿宋_GB2312"/>
          <w:sz w:val="32"/>
          <w:szCs w:val="32"/>
          <w:highlight w:val="none"/>
        </w:rPr>
        <w:t>7</w:t>
      </w:r>
      <w:r>
        <w:rPr>
          <w:rFonts w:hint="eastAsia" w:ascii="仿宋_GB2312" w:hAnsi="仿宋" w:eastAsia="仿宋_GB2312"/>
          <w:sz w:val="32"/>
          <w:szCs w:val="32"/>
          <w:highlight w:val="none"/>
        </w:rPr>
        <w:t>0%，非公共学位课的面授时间不得少于总学时的</w:t>
      </w:r>
      <w:r>
        <w:rPr>
          <w:rFonts w:ascii="仿宋_GB2312" w:hAnsi="仿宋" w:eastAsia="仿宋_GB2312"/>
          <w:sz w:val="32"/>
          <w:szCs w:val="32"/>
          <w:highlight w:val="none"/>
        </w:rPr>
        <w:t>5</w:t>
      </w:r>
      <w:r>
        <w:rPr>
          <w:rFonts w:hint="eastAsia" w:ascii="仿宋_GB2312" w:hAnsi="仿宋" w:eastAsia="仿宋_GB2312"/>
          <w:sz w:val="32"/>
          <w:szCs w:val="32"/>
          <w:highlight w:val="none"/>
        </w:rPr>
        <w:t>0%。</w:t>
      </w:r>
    </w:p>
    <w:p w14:paraId="0E2B270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四、项目立项</w:t>
      </w:r>
    </w:p>
    <w:p w14:paraId="54D4A10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（一）项目申报条件</w:t>
      </w:r>
    </w:p>
    <w:p w14:paraId="48490A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申报研究生在线开放课程建设项目的课程必须是研究生培养方案中列出的课程。重点面向受众面广、成效显著的公共课或跨学科选修课，具备较好基础的学科特色课程或是能反映学科前沿与国际接轨的创新课程，或是学校“双一流”计划支持学科范围的课程。</w:t>
      </w:r>
    </w:p>
    <w:p w14:paraId="7E31F20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2、申报者具备研究生课程教学的任课资格，系统讲授过一门研究生课程，教学水平高，教学效果好，上一轮学生评教分数达到95分及以上的课程优先给予支持。</w:t>
      </w:r>
    </w:p>
    <w:p w14:paraId="1CE989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3、申报者须有三人以上的教学团队或教学辅助人员，团队成员具有海外博士学位的可优先支持。</w:t>
      </w:r>
    </w:p>
    <w:p w14:paraId="3FB095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（二）项目申报流程</w:t>
      </w:r>
    </w:p>
    <w:p w14:paraId="429B702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1、202</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年</w:t>
      </w:r>
      <w:r>
        <w:rPr>
          <w:rFonts w:ascii="仿宋_GB2312" w:eastAsia="仿宋_GB2312" w:hAnsiTheme="minorEastAsia"/>
          <w:sz w:val="32"/>
          <w:szCs w:val="32"/>
        </w:rPr>
        <w:t>3</w:t>
      </w:r>
      <w:r>
        <w:rPr>
          <w:rFonts w:hint="eastAsia" w:ascii="仿宋_GB2312" w:eastAsia="仿宋_GB2312" w:hAnsiTheme="minorEastAsia"/>
          <w:sz w:val="32"/>
          <w:szCs w:val="32"/>
        </w:rPr>
        <w:t>月</w:t>
      </w:r>
      <w:r>
        <w:rPr>
          <w:rFonts w:ascii="仿宋_GB2312" w:eastAsia="仿宋_GB2312" w:hAnsiTheme="minorEastAsia"/>
          <w:sz w:val="32"/>
          <w:szCs w:val="32"/>
        </w:rPr>
        <w:t>1</w:t>
      </w:r>
      <w:r>
        <w:rPr>
          <w:rFonts w:hint="eastAsia" w:ascii="仿宋_GB2312" w:eastAsia="仿宋_GB2312" w:hAnsiTheme="minorEastAsia"/>
          <w:sz w:val="32"/>
          <w:szCs w:val="32"/>
          <w:lang w:val="en-US" w:eastAsia="zh-CN"/>
        </w:rPr>
        <w:t>7</w:t>
      </w:r>
      <w:r>
        <w:rPr>
          <w:rFonts w:hint="eastAsia" w:ascii="仿宋_GB2312" w:eastAsia="仿宋_GB2312" w:hAnsiTheme="minorEastAsia"/>
          <w:sz w:val="32"/>
          <w:szCs w:val="32"/>
        </w:rPr>
        <w:t>日前，课程负责人按要求填写《武汉理工大学研究生在线开放课程建设项目申报书》（见附件3.1）交至学院研究生工作办公室，学院审核后确定推荐课程；</w:t>
      </w:r>
      <w:bookmarkStart w:id="0" w:name="_GoBack"/>
      <w:bookmarkEnd w:id="0"/>
    </w:p>
    <w:p w14:paraId="5B6369A6">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hAnsiTheme="minorEastAsia"/>
          <w:sz w:val="32"/>
          <w:szCs w:val="32"/>
        </w:rPr>
      </w:pPr>
      <w:r>
        <w:rPr>
          <w:rFonts w:hint="eastAsia" w:ascii="仿宋_GB2312" w:eastAsia="仿宋_GB2312" w:cs="Times New Roman"/>
          <w:sz w:val="32"/>
          <w:szCs w:val="32"/>
        </w:rPr>
        <w:t>2、</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eastAsia="仿宋_GB2312" w:cs="Times New Roman"/>
          <w:sz w:val="32"/>
          <w:szCs w:val="32"/>
        </w:rPr>
        <w:t>年</w:t>
      </w:r>
      <w:r>
        <w:rPr>
          <w:rFonts w:ascii="仿宋_GB2312" w:hAnsi="Times New Roman" w:eastAsia="仿宋_GB2312" w:cs="Times New Roman"/>
          <w:sz w:val="32"/>
          <w:szCs w:val="32"/>
        </w:rPr>
        <w:t>3</w:t>
      </w:r>
      <w:r>
        <w:rPr>
          <w:rFonts w:hint="eastAsia" w:ascii="仿宋_GB2312" w:eastAsia="仿宋_GB2312" w:cs="Times New Roman"/>
          <w:sz w:val="32"/>
          <w:szCs w:val="32"/>
        </w:rPr>
        <w:t>月</w:t>
      </w:r>
      <w:r>
        <w:rPr>
          <w:rFonts w:hint="eastAsia" w:ascii="仿宋_GB2312" w:eastAsia="仿宋_GB2312" w:cs="Times New Roman"/>
          <w:sz w:val="32"/>
          <w:szCs w:val="32"/>
          <w:lang w:val="en-US" w:eastAsia="zh-CN"/>
        </w:rPr>
        <w:t>19</w:t>
      </w:r>
      <w:r>
        <w:rPr>
          <w:rFonts w:hint="eastAsia" w:ascii="仿宋_GB2312" w:eastAsia="仿宋_GB2312" w:cs="Times New Roman"/>
          <w:sz w:val="32"/>
          <w:szCs w:val="32"/>
        </w:rPr>
        <w:t>日前，</w:t>
      </w:r>
      <w:r>
        <w:rPr>
          <w:rFonts w:hint="eastAsia" w:ascii="仿宋_GB2312" w:eastAsia="仿宋_GB2312" w:hAnsiTheme="minorEastAsia"/>
          <w:sz w:val="32"/>
          <w:szCs w:val="32"/>
        </w:rPr>
        <w:t>学院审核后</w:t>
      </w:r>
      <w:r>
        <w:rPr>
          <w:rFonts w:hint="eastAsia" w:ascii="仿宋_GB2312" w:hAnsi="Times New Roman" w:eastAsia="仿宋_GB2312" w:cs="Times New Roman"/>
          <w:sz w:val="32"/>
          <w:szCs w:val="32"/>
        </w:rPr>
        <w:t>将</w:t>
      </w:r>
      <w:r>
        <w:rPr>
          <w:rFonts w:hint="eastAsia" w:ascii="仿宋_GB2312" w:eastAsia="仿宋_GB2312"/>
          <w:sz w:val="32"/>
          <w:szCs w:val="32"/>
        </w:rPr>
        <w:t>申报</w:t>
      </w:r>
      <w:r>
        <w:rPr>
          <w:rFonts w:ascii="仿宋_GB2312" w:eastAsia="仿宋_GB2312"/>
          <w:bCs/>
          <w:sz w:val="32"/>
          <w:szCs w:val="32"/>
        </w:rPr>
        <w:t>材料</w:t>
      </w:r>
      <w:r>
        <w:rPr>
          <w:rFonts w:hint="eastAsia" w:ascii="仿宋_GB2312" w:eastAsia="仿宋_GB2312"/>
          <w:bCs/>
          <w:sz w:val="32"/>
          <w:szCs w:val="32"/>
        </w:rPr>
        <w:t>电子版（</w:t>
      </w:r>
      <w:r>
        <w:rPr>
          <w:rFonts w:hint="eastAsia" w:ascii="仿宋_GB2312" w:eastAsia="仿宋_GB2312"/>
          <w:bCs/>
          <w:sz w:val="32"/>
          <w:szCs w:val="32"/>
          <w:lang w:val="en-US" w:eastAsia="zh-CN"/>
        </w:rPr>
        <w:t>w</w:t>
      </w:r>
      <w:r>
        <w:rPr>
          <w:rFonts w:hint="eastAsia" w:ascii="仿宋_GB2312" w:eastAsia="仿宋_GB2312"/>
          <w:bCs/>
          <w:sz w:val="32"/>
          <w:szCs w:val="32"/>
        </w:rPr>
        <w:t>ord版和签字盖章</w:t>
      </w:r>
      <w:r>
        <w:rPr>
          <w:rFonts w:ascii="仿宋_GB2312" w:eastAsia="仿宋_GB2312"/>
          <w:bCs/>
          <w:sz w:val="32"/>
          <w:szCs w:val="32"/>
        </w:rPr>
        <w:t>PDF版）</w:t>
      </w:r>
      <w:r>
        <w:rPr>
          <w:rFonts w:hint="eastAsia" w:ascii="仿宋_GB2312" w:eastAsia="仿宋_GB2312"/>
          <w:bCs/>
          <w:sz w:val="32"/>
          <w:szCs w:val="32"/>
        </w:rPr>
        <w:t>汇总</w:t>
      </w:r>
      <w:r>
        <w:rPr>
          <w:rFonts w:ascii="仿宋_GB2312" w:eastAsia="仿宋_GB2312"/>
          <w:bCs/>
          <w:sz w:val="32"/>
          <w:szCs w:val="32"/>
        </w:rPr>
        <w:t>发送至</w:t>
      </w:r>
      <w:r>
        <w:rPr>
          <w:rFonts w:hint="eastAsia" w:ascii="仿宋_GB2312" w:eastAsia="仿宋_GB2312"/>
          <w:bCs/>
          <w:sz w:val="32"/>
          <w:szCs w:val="32"/>
        </w:rPr>
        <w:t>研究生院</w:t>
      </w:r>
      <w:r>
        <w:rPr>
          <w:rFonts w:hint="eastAsia" w:ascii="仿宋_GB2312" w:eastAsia="仿宋_GB2312"/>
          <w:bCs/>
          <w:sz w:val="32"/>
          <w:szCs w:val="32"/>
          <w:lang w:val="en-US" w:eastAsia="zh-CN"/>
        </w:rPr>
        <w:t>教研管理科</w:t>
      </w:r>
      <w:r>
        <w:rPr>
          <w:rFonts w:hint="eastAsia" w:ascii="仿宋_GB2312" w:eastAsia="仿宋_GB2312" w:hAnsiTheme="minorEastAsia"/>
          <w:sz w:val="32"/>
          <w:szCs w:val="32"/>
        </w:rPr>
        <w:t>；</w:t>
      </w:r>
    </w:p>
    <w:p w14:paraId="3368005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3、研究生院组织专家组对项目申报材料进行评审，择优推荐立项，推荐项目予以公示，公示无异议后立项建设。</w:t>
      </w:r>
    </w:p>
    <w:p w14:paraId="2113331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五、项目管理</w:t>
      </w:r>
    </w:p>
    <w:p w14:paraId="2D905CA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（一）课前教学资源准备</w:t>
      </w:r>
    </w:p>
    <w:p w14:paraId="775B55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1、课程负责人下载《研究生教室使用申请表》，经研究生院培养办公室审核后在研究生录播教室进行课程录播和视频剪辑。也可根据视频要求在自己工作室录制。</w:t>
      </w:r>
    </w:p>
    <w:p w14:paraId="73F49E4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eastAsia="仿宋_GB2312" w:hAnsiTheme="minorEastAsia"/>
          <w:sz w:val="32"/>
          <w:szCs w:val="32"/>
        </w:rPr>
        <w:t>2、在线开放课程开课前两周须先发布课程预告，包括</w:t>
      </w:r>
      <w:r>
        <w:rPr>
          <w:rFonts w:hint="eastAsia" w:ascii="仿宋_GB2312" w:hAnsi="仿宋" w:eastAsia="仿宋_GB2312"/>
          <w:sz w:val="32"/>
          <w:szCs w:val="32"/>
        </w:rPr>
        <w:t>课程概述、授课大纲和教学日历、证书要求、教学视频、教学资料、课堂讨论、测验作业</w:t>
      </w:r>
      <w:r>
        <w:rPr>
          <w:rFonts w:hint="eastAsia" w:ascii="仿宋_GB2312" w:eastAsia="仿宋_GB2312" w:hAnsiTheme="minorEastAsia"/>
          <w:sz w:val="32"/>
          <w:szCs w:val="32"/>
        </w:rPr>
        <w:t>等内容，方便学生提前学习。</w:t>
      </w:r>
    </w:p>
    <w:p w14:paraId="7BF7E3F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（二）线上授课和面授</w:t>
      </w:r>
    </w:p>
    <w:p w14:paraId="3FE4564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1、在线开放课程线上授课须严格按授课大纲执行，开课期间每周须发布教学视频和教学资料，设置课程讨论，至少两周布置一次作业或安排单元测验；</w:t>
      </w:r>
    </w:p>
    <w:p w14:paraId="2BC1C2E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2、在线开放课程线上讨论、答疑须有专人负责,保证在线开放课程教学的正常运行。</w:t>
      </w:r>
    </w:p>
    <w:p w14:paraId="63D560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3、在线开放课程面授须严格按授课大纲和教学日历安排组织教学，保持正常教学秩序和教学进度，任课教师不得随意降低教学要求，不得随意减少教学学时。</w:t>
      </w:r>
    </w:p>
    <w:p w14:paraId="7A461C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（三）课程考核和更新</w:t>
      </w:r>
    </w:p>
    <w:p w14:paraId="2533BB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1、在线开放课程须按证书要求的考核方式和分数占比进行考核和计分。任课教师应在课程结束两周内，将考核分数导入研究生信息管理系统，试卷和成绩登记表交到开课单位。</w:t>
      </w:r>
    </w:p>
    <w:p w14:paraId="0EDC17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2、教师团队须加强课程资源的维护和更新。</w:t>
      </w:r>
    </w:p>
    <w:p w14:paraId="241EBDB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3、在线开放课程将纳入学校研究生课程教学检查评估范围，研究生院和相关学院根据教师上报的教学日历和授课大纲安排教学检查。</w:t>
      </w:r>
    </w:p>
    <w:p w14:paraId="34BE0EF7">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六、项目验收</w:t>
      </w:r>
    </w:p>
    <w:p w14:paraId="3F7EB57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次年3月份，研究生院组织专家组对课程项目资源建设和上线运行情况进行验收和课程认定。</w:t>
      </w:r>
    </w:p>
    <w:p w14:paraId="0F2D611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sz w:val="32"/>
          <w:szCs w:val="32"/>
        </w:rPr>
      </w:pPr>
      <w:r>
        <w:rPr>
          <w:rFonts w:hint="eastAsia" w:ascii="黑体" w:hAnsi="黑体" w:eastAsia="黑体" w:cs="黑体"/>
          <w:b/>
          <w:sz w:val="32"/>
          <w:szCs w:val="32"/>
        </w:rPr>
        <w:t>七、组织和经费保障</w:t>
      </w:r>
    </w:p>
    <w:p w14:paraId="0B9EE96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（一）各培养单位要紧密结合学科特色和“双一流”计划，认真组织在线开放课程的申报和建设工作。</w:t>
      </w:r>
    </w:p>
    <w:p w14:paraId="2A923D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Theme="minorEastAsia"/>
          <w:sz w:val="32"/>
          <w:szCs w:val="32"/>
        </w:rPr>
      </w:pPr>
      <w:r>
        <w:rPr>
          <w:rFonts w:hint="eastAsia" w:ascii="仿宋_GB2312" w:eastAsia="仿宋_GB2312" w:hAnsiTheme="minorEastAsia"/>
          <w:sz w:val="32"/>
          <w:szCs w:val="32"/>
        </w:rPr>
        <w:t>（二）项目立项后每门课程予以</w:t>
      </w:r>
      <w:r>
        <w:rPr>
          <w:rFonts w:ascii="仿宋_GB2312" w:eastAsia="仿宋_GB2312" w:hAnsiTheme="minorEastAsia"/>
          <w:sz w:val="32"/>
          <w:szCs w:val="32"/>
        </w:rPr>
        <w:t>3</w:t>
      </w:r>
      <w:r>
        <w:rPr>
          <w:rFonts w:hint="eastAsia" w:ascii="仿宋_GB2312" w:eastAsia="仿宋_GB2312" w:hAnsiTheme="minorEastAsia"/>
          <w:sz w:val="32"/>
          <w:szCs w:val="32"/>
        </w:rPr>
        <w:t>万元的经费资助，用于课程的前期建设。</w:t>
      </w:r>
    </w:p>
    <w:p w14:paraId="0EC9419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三）验收结论为“合格”的课程，认定为校级“校级在线开放课程”，予以资助课程更新和维护经费2万元，课程工作量在原有计算工作量的基础上乘以2的系数，优先推荐和资助其参与湖北省和国家在线开放课程评选。</w:t>
      </w:r>
    </w:p>
    <w:p w14:paraId="6286DD0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（四）验收结论为“延期验收”的课程，课程工作量在原有计算工作量的基础上乘以1.5的系数，课程可重新运行一年重新申请验收。</w:t>
      </w:r>
    </w:p>
    <w:p w14:paraId="6A00B72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（五）验收结论为“不合格”的课程，中止课程建设和资助，并取消课程负责人连续三年申报研究生课程建设项目和教研项目等其他项目的申报资格。</w:t>
      </w:r>
    </w:p>
    <w:p w14:paraId="4E4B71E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hAnsiTheme="minorEastAsia"/>
          <w:sz w:val="32"/>
          <w:szCs w:val="32"/>
        </w:rPr>
      </w:pPr>
      <w:r>
        <w:rPr>
          <w:rFonts w:hint="eastAsia" w:ascii="仿宋_GB2312" w:eastAsia="仿宋_GB2312" w:hAnsiTheme="minorEastAsia"/>
          <w:sz w:val="32"/>
          <w:szCs w:val="32"/>
        </w:rPr>
        <w:t>（六）课程工作量系数只认定首次验收建设课程的一个课程班。</w:t>
      </w:r>
    </w:p>
    <w:p w14:paraId="7A00F9B7">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hAnsiTheme="minorEastAsia"/>
          <w:sz w:val="32"/>
          <w:szCs w:val="32"/>
        </w:rPr>
      </w:pPr>
    </w:p>
    <w:p w14:paraId="57F40770">
      <w:pPr>
        <w:keepNext w:val="0"/>
        <w:keepLines w:val="0"/>
        <w:pageBreakBefore w:val="0"/>
        <w:kinsoku/>
        <w:wordWrap/>
        <w:overflowPunct/>
        <w:topLinePunct w:val="0"/>
        <w:autoSpaceDE/>
        <w:autoSpaceDN/>
        <w:bidi w:val="0"/>
        <w:adjustRightInd/>
        <w:snapToGrid/>
        <w:spacing w:line="560" w:lineRule="exact"/>
        <w:ind w:right="560"/>
        <w:jc w:val="right"/>
        <w:textAlignment w:val="auto"/>
        <w:rPr>
          <w:rFonts w:ascii="仿宋_GB2312" w:eastAsia="仿宋_GB2312" w:hAnsiTheme="minorEastAsia"/>
          <w:sz w:val="32"/>
          <w:szCs w:val="32"/>
        </w:rPr>
      </w:pPr>
      <w:r>
        <w:rPr>
          <w:rFonts w:hint="eastAsia" w:ascii="仿宋_GB2312" w:eastAsia="仿宋_GB2312" w:hAnsiTheme="minorEastAsia"/>
          <w:sz w:val="32"/>
          <w:szCs w:val="32"/>
        </w:rPr>
        <w:t>研究生院</w:t>
      </w:r>
    </w:p>
    <w:p w14:paraId="024F08C2">
      <w:pPr>
        <w:keepNext w:val="0"/>
        <w:keepLines w:val="0"/>
        <w:pageBreakBefore w:val="0"/>
        <w:kinsoku/>
        <w:wordWrap/>
        <w:overflowPunct/>
        <w:topLinePunct w:val="0"/>
        <w:autoSpaceDE/>
        <w:autoSpaceDN/>
        <w:bidi w:val="0"/>
        <w:adjustRightInd/>
        <w:snapToGrid/>
        <w:spacing w:line="560" w:lineRule="exact"/>
        <w:jc w:val="right"/>
        <w:textAlignment w:val="auto"/>
        <w:rPr>
          <w:rFonts w:ascii="仿宋_GB2312" w:eastAsia="仿宋_GB2312" w:hAnsiTheme="minorEastAsia"/>
          <w:sz w:val="32"/>
          <w:szCs w:val="32"/>
        </w:rPr>
      </w:pPr>
      <w:r>
        <w:rPr>
          <w:rFonts w:hint="eastAsia" w:ascii="仿宋_GB2312" w:eastAsia="仿宋_GB2312" w:hAnsiTheme="minorEastAsia"/>
          <w:sz w:val="32"/>
          <w:szCs w:val="32"/>
        </w:rPr>
        <w:t>202</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rPr>
        <w:t>年</w:t>
      </w:r>
      <w:r>
        <w:rPr>
          <w:rFonts w:ascii="仿宋_GB2312" w:eastAsia="仿宋_GB2312" w:hAnsiTheme="minorEastAsia"/>
          <w:sz w:val="32"/>
          <w:szCs w:val="32"/>
        </w:rPr>
        <w:t>3</w:t>
      </w:r>
      <w:r>
        <w:rPr>
          <w:rFonts w:hint="eastAsia" w:ascii="仿宋_GB2312" w:eastAsia="仿宋_GB2312" w:hAnsiTheme="minorEastAsia"/>
          <w:sz w:val="32"/>
          <w:szCs w:val="32"/>
        </w:rPr>
        <w:t>月</w:t>
      </w:r>
      <w:r>
        <w:rPr>
          <w:rFonts w:hint="eastAsia" w:ascii="仿宋_GB2312" w:eastAsia="仿宋_GB2312" w:hAnsiTheme="minorEastAsia"/>
          <w:sz w:val="32"/>
          <w:szCs w:val="32"/>
          <w:lang w:val="en-US" w:eastAsia="zh-CN"/>
        </w:rPr>
        <w:t>7</w:t>
      </w:r>
      <w:r>
        <w:rPr>
          <w:rFonts w:hint="eastAsia" w:ascii="仿宋_GB2312" w:eastAsia="仿宋_GB2312" w:hAnsiTheme="minorEastAsia"/>
          <w:sz w:val="32"/>
          <w:szCs w:val="32"/>
        </w:rPr>
        <w:t>日</w:t>
      </w:r>
    </w:p>
    <w:p w14:paraId="29F85D5C">
      <w:pPr>
        <w:keepNext w:val="0"/>
        <w:keepLines w:val="0"/>
        <w:pageBreakBefore w:val="0"/>
        <w:kinsoku/>
        <w:wordWrap/>
        <w:overflowPunct/>
        <w:topLinePunct w:val="0"/>
        <w:autoSpaceDE/>
        <w:autoSpaceDN/>
        <w:bidi w:val="0"/>
        <w:adjustRightInd/>
        <w:snapToGrid/>
        <w:spacing w:line="560" w:lineRule="exact"/>
        <w:jc w:val="right"/>
        <w:textAlignment w:val="auto"/>
        <w:rPr>
          <w:rFonts w:ascii="仿宋_GB2312" w:eastAsia="仿宋_GB2312"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B46"/>
    <w:rsid w:val="000705CC"/>
    <w:rsid w:val="000943AE"/>
    <w:rsid w:val="000B52F1"/>
    <w:rsid w:val="000D0F3E"/>
    <w:rsid w:val="00104803"/>
    <w:rsid w:val="00107488"/>
    <w:rsid w:val="00132949"/>
    <w:rsid w:val="00150BBC"/>
    <w:rsid w:val="00174BE5"/>
    <w:rsid w:val="001A37BB"/>
    <w:rsid w:val="001B1E8B"/>
    <w:rsid w:val="001B3CF1"/>
    <w:rsid w:val="001F718A"/>
    <w:rsid w:val="002022D6"/>
    <w:rsid w:val="002117A0"/>
    <w:rsid w:val="0021389B"/>
    <w:rsid w:val="00214BA7"/>
    <w:rsid w:val="002440D2"/>
    <w:rsid w:val="002D3EF3"/>
    <w:rsid w:val="00311C44"/>
    <w:rsid w:val="0035461C"/>
    <w:rsid w:val="003855F7"/>
    <w:rsid w:val="003B7828"/>
    <w:rsid w:val="003F2663"/>
    <w:rsid w:val="00404464"/>
    <w:rsid w:val="0040511F"/>
    <w:rsid w:val="00406352"/>
    <w:rsid w:val="004148EB"/>
    <w:rsid w:val="0042161E"/>
    <w:rsid w:val="00477AC1"/>
    <w:rsid w:val="00484F2A"/>
    <w:rsid w:val="004A2E8E"/>
    <w:rsid w:val="004B78DE"/>
    <w:rsid w:val="004C6B46"/>
    <w:rsid w:val="004E2680"/>
    <w:rsid w:val="004E7DBC"/>
    <w:rsid w:val="0053395E"/>
    <w:rsid w:val="00551CD5"/>
    <w:rsid w:val="00554E80"/>
    <w:rsid w:val="00573A48"/>
    <w:rsid w:val="00581E32"/>
    <w:rsid w:val="005E4C3A"/>
    <w:rsid w:val="006215BF"/>
    <w:rsid w:val="00635AE6"/>
    <w:rsid w:val="00647380"/>
    <w:rsid w:val="00652BEA"/>
    <w:rsid w:val="0066216E"/>
    <w:rsid w:val="00663475"/>
    <w:rsid w:val="0069238E"/>
    <w:rsid w:val="006C5EE7"/>
    <w:rsid w:val="006D785A"/>
    <w:rsid w:val="00730780"/>
    <w:rsid w:val="00746DFE"/>
    <w:rsid w:val="00753677"/>
    <w:rsid w:val="00761A63"/>
    <w:rsid w:val="00763B32"/>
    <w:rsid w:val="00767628"/>
    <w:rsid w:val="007721A0"/>
    <w:rsid w:val="0079282F"/>
    <w:rsid w:val="0080231A"/>
    <w:rsid w:val="00826859"/>
    <w:rsid w:val="0085053B"/>
    <w:rsid w:val="008B4784"/>
    <w:rsid w:val="008C4B65"/>
    <w:rsid w:val="0091170C"/>
    <w:rsid w:val="00914E16"/>
    <w:rsid w:val="00923A6D"/>
    <w:rsid w:val="00925AAA"/>
    <w:rsid w:val="009365DD"/>
    <w:rsid w:val="00982035"/>
    <w:rsid w:val="00990103"/>
    <w:rsid w:val="00992DE6"/>
    <w:rsid w:val="009F14D0"/>
    <w:rsid w:val="00A2276E"/>
    <w:rsid w:val="00A27AA0"/>
    <w:rsid w:val="00A45466"/>
    <w:rsid w:val="00AB057A"/>
    <w:rsid w:val="00AF0362"/>
    <w:rsid w:val="00AF10D4"/>
    <w:rsid w:val="00B13DDA"/>
    <w:rsid w:val="00B15F9A"/>
    <w:rsid w:val="00B31B39"/>
    <w:rsid w:val="00B918D7"/>
    <w:rsid w:val="00B94619"/>
    <w:rsid w:val="00BC084D"/>
    <w:rsid w:val="00BE2A61"/>
    <w:rsid w:val="00BE4C2E"/>
    <w:rsid w:val="00C25E61"/>
    <w:rsid w:val="00C27196"/>
    <w:rsid w:val="00C35204"/>
    <w:rsid w:val="00C53352"/>
    <w:rsid w:val="00C535C4"/>
    <w:rsid w:val="00C571DA"/>
    <w:rsid w:val="00C65D02"/>
    <w:rsid w:val="00C6620E"/>
    <w:rsid w:val="00C7715E"/>
    <w:rsid w:val="00C87973"/>
    <w:rsid w:val="00CC0583"/>
    <w:rsid w:val="00CC4C43"/>
    <w:rsid w:val="00CF1FC0"/>
    <w:rsid w:val="00D40454"/>
    <w:rsid w:val="00D5169B"/>
    <w:rsid w:val="00D75024"/>
    <w:rsid w:val="00D924F5"/>
    <w:rsid w:val="00DA217E"/>
    <w:rsid w:val="00DA426E"/>
    <w:rsid w:val="00DD1479"/>
    <w:rsid w:val="00DF3719"/>
    <w:rsid w:val="00E87C23"/>
    <w:rsid w:val="00EA0A16"/>
    <w:rsid w:val="00EB1ADF"/>
    <w:rsid w:val="00ED45A6"/>
    <w:rsid w:val="00EE1A18"/>
    <w:rsid w:val="00EE40BB"/>
    <w:rsid w:val="00F06F56"/>
    <w:rsid w:val="00F134DD"/>
    <w:rsid w:val="00F16EA5"/>
    <w:rsid w:val="00F26DDA"/>
    <w:rsid w:val="00F81A39"/>
    <w:rsid w:val="00FA0705"/>
    <w:rsid w:val="00FA64BC"/>
    <w:rsid w:val="00FE49A2"/>
    <w:rsid w:val="139A453B"/>
    <w:rsid w:val="1AB53561"/>
    <w:rsid w:val="1F1A41DD"/>
    <w:rsid w:val="21713245"/>
    <w:rsid w:val="218821A3"/>
    <w:rsid w:val="228E10B6"/>
    <w:rsid w:val="236A6126"/>
    <w:rsid w:val="30844303"/>
    <w:rsid w:val="40C01D21"/>
    <w:rsid w:val="444870BE"/>
    <w:rsid w:val="52650DED"/>
    <w:rsid w:val="5AC767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1 字符"/>
    <w:basedOn w:val="8"/>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1860</Words>
  <Characters>1894</Characters>
  <Lines>13</Lines>
  <Paragraphs>3</Paragraphs>
  <TotalTime>3</TotalTime>
  <ScaleCrop>false</ScaleCrop>
  <LinksUpToDate>false</LinksUpToDate>
  <CharactersWithSpaces>1894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2017-03-09T01:14:00Z</dcterms:created>
  <dc:creator>微软用户</dc:creator>
  <cp:lastModifiedBy>Administrator</cp:lastModifiedBy>
  <dcterms:modified xsi:type="dcterms:W3CDTF">2025-03-07T08:53:02Z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eyJoZGlkIjoiOTMwOTJlNzhmN2FkMWMwMmQ4MjY4YWVjZjQ2ZjY3N2UiLCJ1c2VySWQiOiIxNjA1OTc0ODQzIn0=</vt:lpwstr>
  </property>
  <property fmtid="{D5CDD505-2E9C-101B-9397-08002B2CF9AE}" pid="3" name="KSOProductBuildVer">
    <vt:lpwstr>2052-12.1.0.19302</vt:lpwstr>
  </property>
  <property fmtid="{D5CDD505-2E9C-101B-9397-08002B2CF9AE}" pid="4" name="ICV">
    <vt:lpwstr>52816D3F2A374AADB38151180A87CAAC_13</vt:lpwstr>
  </property>
</Properties>
</file>