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3EC8F">
      <w:pPr>
        <w:keepNext w:val="0"/>
        <w:keepLines w:val="0"/>
        <w:pageBreakBefore w:val="0"/>
        <w:kinsoku/>
        <w:overflowPunct/>
        <w:topLinePunct w:val="0"/>
        <w:autoSpaceDE/>
        <w:autoSpaceDN/>
        <w:bidi w:val="0"/>
        <w:adjustRightInd/>
        <w:snapToGrid/>
        <w:spacing w:line="560" w:lineRule="exact"/>
        <w:jc w:val="center"/>
        <w:textAlignment w:val="auto"/>
        <w:rPr>
          <w:rFonts w:hint="eastAsia" w:ascii="方正小标宋简体" w:eastAsia="方正小标宋简体" w:hAnsiTheme="minorEastAsia"/>
          <w:sz w:val="44"/>
          <w:szCs w:val="44"/>
        </w:rPr>
      </w:pPr>
      <w:r>
        <w:rPr>
          <w:rFonts w:hint="eastAsia" w:ascii="方正小标宋简体" w:eastAsia="方正小标宋简体" w:hAnsiTheme="minorEastAsia"/>
          <w:sz w:val="44"/>
          <w:szCs w:val="44"/>
        </w:rPr>
        <w:t>202</w:t>
      </w:r>
      <w:r>
        <w:rPr>
          <w:rFonts w:hint="eastAsia" w:ascii="方正小标宋简体" w:eastAsia="方正小标宋简体" w:hAnsiTheme="minorEastAsia"/>
          <w:sz w:val="44"/>
          <w:szCs w:val="44"/>
          <w:lang w:val="en-US" w:eastAsia="zh-CN"/>
        </w:rPr>
        <w:t>5</w:t>
      </w:r>
      <w:r>
        <w:rPr>
          <w:rFonts w:hint="eastAsia" w:ascii="方正小标宋简体" w:eastAsia="方正小标宋简体" w:hAnsiTheme="minorEastAsia"/>
          <w:sz w:val="44"/>
          <w:szCs w:val="44"/>
        </w:rPr>
        <w:t>年武汉理工大学研究生国际化课程建设项目实施细则</w:t>
      </w:r>
    </w:p>
    <w:p w14:paraId="390D137D">
      <w:pPr>
        <w:keepNext w:val="0"/>
        <w:keepLines w:val="0"/>
        <w:pageBreakBefore w:val="0"/>
        <w:kinsoku/>
        <w:overflowPunct/>
        <w:topLinePunct w:val="0"/>
        <w:autoSpaceDE/>
        <w:autoSpaceDN/>
        <w:bidi w:val="0"/>
        <w:adjustRightInd/>
        <w:snapToGrid/>
        <w:spacing w:line="560" w:lineRule="exact"/>
        <w:jc w:val="center"/>
        <w:textAlignment w:val="auto"/>
        <w:rPr>
          <w:rFonts w:hint="eastAsia" w:ascii="方正小标宋简体" w:eastAsia="方正小标宋简体" w:hAnsiTheme="minorEastAsia"/>
          <w:sz w:val="44"/>
          <w:szCs w:val="44"/>
        </w:rPr>
      </w:pPr>
    </w:p>
    <w:p w14:paraId="79811017">
      <w:pPr>
        <w:pStyle w:val="4"/>
        <w:keepNext w:val="0"/>
        <w:keepLines w:val="0"/>
        <w:pageBreakBefore w:val="0"/>
        <w:kinsoku/>
        <w:overflowPunct/>
        <w:topLinePunct w:val="0"/>
        <w:autoSpaceDE/>
        <w:autoSpaceDN/>
        <w:bidi w:val="0"/>
        <w:adjustRightInd/>
        <w:snapToGrid/>
        <w:spacing w:before="0" w:beforeAutospacing="0" w:after="0" w:afterAutospacing="0" w:line="560" w:lineRule="exact"/>
        <w:ind w:firstLine="0"/>
        <w:jc w:val="both"/>
        <w:textAlignment w:val="auto"/>
        <w:rPr>
          <w:rFonts w:ascii="仿宋_GB2312" w:eastAsia="仿宋_GB2312" w:hAnsiTheme="minorEastAsia"/>
          <w:color w:val="000000"/>
          <w:sz w:val="32"/>
          <w:szCs w:val="32"/>
        </w:rPr>
      </w:pPr>
      <w:r>
        <w:rPr>
          <w:rFonts w:hint="eastAsia" w:ascii="仿宋_GB2312" w:eastAsia="仿宋_GB2312" w:hAnsiTheme="minorEastAsia"/>
          <w:color w:val="000000"/>
          <w:sz w:val="32"/>
          <w:szCs w:val="32"/>
        </w:rPr>
        <w:t>各研究生培养单位：</w:t>
      </w:r>
    </w:p>
    <w:p w14:paraId="78EC5B9D">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为主动适应高等教育国际化的要求，加快研究生培养国际化进程，拓展研究生的国际学术视野，提高研究生培养质量，根据学校“十四五”规划目标，结合研究生教育实际情况，现启动研究生国际化课程建设申报工作。</w:t>
      </w:r>
    </w:p>
    <w:p w14:paraId="28CCBC67">
      <w:pPr>
        <w:keepNext w:val="0"/>
        <w:keepLines w:val="0"/>
        <w:pageBreakBefore w:val="0"/>
        <w:kinsoku/>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一、建设目标</w:t>
      </w:r>
    </w:p>
    <w:p w14:paraId="5B34D6BD">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通过充分了解、借鉴国内外研究生教育经验，跟踪国内外研究生课程体系建设动态，引进一批研究生最新教学内容，进一步完善我校研究生课程体系。</w:t>
      </w:r>
    </w:p>
    <w:p w14:paraId="3E8FF353">
      <w:pPr>
        <w:keepNext w:val="0"/>
        <w:keepLines w:val="0"/>
        <w:pageBreakBefore w:val="0"/>
        <w:kinsoku/>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二、建设内容</w:t>
      </w:r>
    </w:p>
    <w:p w14:paraId="600A342B">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结合学校“双一流”建设目标，主要面向学校重点学科或特色学科，邀请境外高水平大学或研究机构的知名教授、专家来校讲授本学科最新研究成果或前沿课程。授课人员必须具备境外高等学校或科研机构教授及以上任职经历（可为已退休人员），在本学科具有较强的国际学术影响力。授课内容必须是本学科最新研究成果、内容一流、讲授独到。来校授课总课时应</w:t>
      </w:r>
      <w:r>
        <w:rPr>
          <w:rFonts w:hint="eastAsia" w:ascii="仿宋_GB2312" w:eastAsia="仿宋_GB2312" w:hAnsiTheme="minorEastAsia"/>
          <w:sz w:val="32"/>
          <w:szCs w:val="32"/>
          <w:lang w:val="en-US" w:eastAsia="zh-CN"/>
        </w:rPr>
        <w:t>与</w:t>
      </w:r>
      <w:r>
        <w:rPr>
          <w:rFonts w:hint="eastAsia" w:ascii="仿宋_GB2312" w:eastAsia="仿宋_GB2312" w:hAnsiTheme="minorEastAsia"/>
          <w:sz w:val="32"/>
          <w:szCs w:val="32"/>
        </w:rPr>
        <w:t>培养方案中相应课程一致。</w:t>
      </w:r>
    </w:p>
    <w:p w14:paraId="77EFAF63">
      <w:pPr>
        <w:keepNext w:val="0"/>
        <w:keepLines w:val="0"/>
        <w:pageBreakBefore w:val="0"/>
        <w:kinsoku/>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三、申报要求</w:t>
      </w:r>
    </w:p>
    <w:p w14:paraId="5BE5B38E">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一）各学院（部）应根据本学科研究生培养的需要填写《武汉理工大学研究生国际化课程建设项目申请表》（附件2.1），须请至少两名课程所属专业正高及以上专家填写推荐意见。经学院党政联席会议审定、批准后报研究生院培养处。</w:t>
      </w:r>
    </w:p>
    <w:p w14:paraId="6E1A0E14">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（二）已受聘为我校讲座讲授、客座教授等专家学者不适宜申报该项目。</w:t>
      </w:r>
    </w:p>
    <w:p w14:paraId="4E7EC237">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（三）20</w:t>
      </w:r>
      <w:r>
        <w:rPr>
          <w:rFonts w:ascii="仿宋_GB2312" w:eastAsia="仿宋_GB2312" w:hAnsiTheme="minorEastAsia"/>
          <w:sz w:val="32"/>
          <w:szCs w:val="32"/>
        </w:rPr>
        <w:t>2</w:t>
      </w:r>
      <w:r>
        <w:rPr>
          <w:rFonts w:hint="eastAsia" w:ascii="仿宋_GB2312" w:eastAsia="仿宋_GB2312" w:hAnsiTheme="minorEastAsia"/>
          <w:sz w:val="32"/>
          <w:szCs w:val="32"/>
          <w:lang w:val="en-US" w:eastAsia="zh-CN"/>
        </w:rPr>
        <w:t>2</w:t>
      </w:r>
      <w:r>
        <w:rPr>
          <w:rFonts w:hint="eastAsia" w:ascii="仿宋_GB2312" w:eastAsia="仿宋_GB2312" w:hAnsiTheme="minorEastAsia"/>
          <w:sz w:val="32"/>
          <w:szCs w:val="32"/>
        </w:rPr>
        <w:t>、20</w:t>
      </w:r>
      <w:r>
        <w:rPr>
          <w:rFonts w:ascii="仿宋_GB2312" w:eastAsia="仿宋_GB2312" w:hAnsiTheme="minorEastAsia"/>
          <w:sz w:val="32"/>
          <w:szCs w:val="32"/>
        </w:rPr>
        <w:t>2</w:t>
      </w:r>
      <w:r>
        <w:rPr>
          <w:rFonts w:hint="eastAsia" w:ascii="仿宋_GB2312" w:eastAsia="仿宋_GB2312" w:hAnsiTheme="minorEastAsia"/>
          <w:sz w:val="32"/>
          <w:szCs w:val="32"/>
          <w:lang w:val="en-US" w:eastAsia="zh-CN"/>
        </w:rPr>
        <w:t>3</w:t>
      </w:r>
      <w:r>
        <w:rPr>
          <w:rFonts w:hint="eastAsia" w:ascii="仿宋_GB2312" w:eastAsia="仿宋_GB2312" w:hAnsiTheme="minorEastAsia"/>
          <w:sz w:val="32"/>
          <w:szCs w:val="32"/>
        </w:rPr>
        <w:t>、202</w:t>
      </w:r>
      <w:r>
        <w:rPr>
          <w:rFonts w:hint="eastAsia" w:ascii="仿宋_GB2312" w:eastAsia="仿宋_GB2312" w:hAnsiTheme="minorEastAsia"/>
          <w:sz w:val="32"/>
          <w:szCs w:val="32"/>
          <w:lang w:val="en-US" w:eastAsia="zh-CN"/>
        </w:rPr>
        <w:t>4</w:t>
      </w:r>
      <w:r>
        <w:rPr>
          <w:rFonts w:hint="eastAsia" w:ascii="仿宋_GB2312" w:eastAsia="仿宋_GB2312" w:hAnsiTheme="minorEastAsia"/>
          <w:sz w:val="32"/>
          <w:szCs w:val="32"/>
        </w:rPr>
        <w:t>年已立项资助过的国际化课程不适宜再度申报该项目。</w:t>
      </w:r>
    </w:p>
    <w:p w14:paraId="27B4F761">
      <w:pPr>
        <w:keepNext w:val="0"/>
        <w:keepLines w:val="0"/>
        <w:pageBreakBefore w:val="0"/>
        <w:kinsoku/>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四、时间安排</w:t>
      </w:r>
    </w:p>
    <w:p w14:paraId="2701BE4B">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（一）202</w:t>
      </w:r>
      <w:r>
        <w:rPr>
          <w:rFonts w:hint="eastAsia" w:ascii="仿宋_GB2312" w:eastAsia="仿宋_GB2312" w:hAnsiTheme="minorEastAsia"/>
          <w:sz w:val="32"/>
          <w:szCs w:val="32"/>
          <w:lang w:val="en-US" w:eastAsia="zh-CN"/>
        </w:rPr>
        <w:t>5</w:t>
      </w:r>
      <w:r>
        <w:rPr>
          <w:rFonts w:hint="eastAsia" w:ascii="仿宋_GB2312" w:eastAsia="仿宋_GB2312" w:hAnsiTheme="minorEastAsia"/>
          <w:sz w:val="32"/>
          <w:szCs w:val="32"/>
        </w:rPr>
        <w:t>年第一批：</w:t>
      </w:r>
    </w:p>
    <w:p w14:paraId="02C11A7B">
      <w:pPr>
        <w:keepNext w:val="0"/>
        <w:keepLines w:val="0"/>
        <w:pageBreakBefore w:val="0"/>
        <w:widowControl/>
        <w:kinsoku/>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Times New Roman"/>
          <w:kern w:val="0"/>
          <w:sz w:val="32"/>
          <w:szCs w:val="32"/>
        </w:rPr>
      </w:pPr>
      <w:r>
        <w:rPr>
          <w:rFonts w:hint="eastAsia" w:ascii="仿宋_GB2312" w:eastAsia="仿宋_GB2312" w:hAnsiTheme="minorEastAsia"/>
          <w:sz w:val="32"/>
          <w:szCs w:val="32"/>
        </w:rPr>
        <w:t>1、</w:t>
      </w:r>
      <w:r>
        <w:rPr>
          <w:rFonts w:hint="eastAsia" w:ascii="仿宋_GB2312" w:hAnsi="Times New Roman" w:eastAsia="仿宋_GB2312" w:cs="Times New Roman"/>
          <w:kern w:val="0"/>
          <w:sz w:val="32"/>
          <w:szCs w:val="32"/>
        </w:rPr>
        <w:t>202</w:t>
      </w:r>
      <w:r>
        <w:rPr>
          <w:rFonts w:hint="eastAsia" w:ascii="仿宋_GB2312" w:hAnsi="Times New Roman" w:eastAsia="仿宋_GB2312" w:cs="Times New Roman"/>
          <w:kern w:val="0"/>
          <w:sz w:val="32"/>
          <w:szCs w:val="32"/>
          <w:lang w:val="en-US" w:eastAsia="zh-CN"/>
        </w:rPr>
        <w:t>5</w:t>
      </w:r>
      <w:r>
        <w:rPr>
          <w:rFonts w:hint="eastAsia" w:ascii="仿宋_GB2312" w:hAnsi="宋体" w:eastAsia="仿宋_GB2312" w:cs="Times New Roman"/>
          <w:kern w:val="0"/>
          <w:sz w:val="32"/>
          <w:szCs w:val="32"/>
        </w:rPr>
        <w:t>年</w:t>
      </w:r>
      <w:r>
        <w:rPr>
          <w:rFonts w:ascii="仿宋_GB2312" w:hAnsi="Times New Roman" w:eastAsia="仿宋_GB2312" w:cs="Times New Roman"/>
          <w:kern w:val="0"/>
          <w:sz w:val="32"/>
          <w:szCs w:val="32"/>
        </w:rPr>
        <w:t>3</w:t>
      </w:r>
      <w:r>
        <w:rPr>
          <w:rFonts w:hint="eastAsia" w:ascii="仿宋_GB2312" w:hAnsi="宋体" w:eastAsia="仿宋_GB2312" w:cs="Times New Roman"/>
          <w:kern w:val="0"/>
          <w:sz w:val="32"/>
          <w:szCs w:val="32"/>
        </w:rPr>
        <w:t>月</w:t>
      </w:r>
      <w:r>
        <w:rPr>
          <w:rFonts w:ascii="仿宋_GB2312" w:hAnsi="Times New Roman" w:eastAsia="仿宋_GB2312" w:cs="Times New Roman"/>
          <w:kern w:val="0"/>
          <w:sz w:val="32"/>
          <w:szCs w:val="32"/>
        </w:rPr>
        <w:t>1</w:t>
      </w:r>
      <w:r>
        <w:rPr>
          <w:rFonts w:hint="eastAsia" w:ascii="仿宋_GB2312" w:hAnsi="Times New Roman" w:eastAsia="仿宋_GB2312" w:cs="Times New Roman"/>
          <w:kern w:val="0"/>
          <w:sz w:val="32"/>
          <w:szCs w:val="32"/>
          <w:lang w:val="en-US" w:eastAsia="zh-CN"/>
        </w:rPr>
        <w:t>7</w:t>
      </w:r>
      <w:r>
        <w:rPr>
          <w:rFonts w:hint="eastAsia" w:ascii="仿宋_GB2312" w:hAnsi="宋体" w:eastAsia="仿宋_GB2312" w:cs="Times New Roman"/>
          <w:kern w:val="0"/>
          <w:sz w:val="32"/>
          <w:szCs w:val="32"/>
        </w:rPr>
        <w:t>日前，课程负责人按</w:t>
      </w:r>
      <w:r>
        <w:rPr>
          <w:rFonts w:hint="eastAsia" w:ascii="仿宋_GB2312" w:eastAsia="仿宋_GB2312" w:hAnsiTheme="minorEastAsia"/>
          <w:sz w:val="32"/>
          <w:szCs w:val="32"/>
        </w:rPr>
        <w:t>要求填写申报书交至学院研究生工作办公室</w:t>
      </w:r>
      <w:r>
        <w:rPr>
          <w:rFonts w:hint="eastAsia" w:ascii="仿宋_GB2312" w:hAnsi="宋体" w:eastAsia="仿宋_GB2312" w:cs="Times New Roman"/>
          <w:kern w:val="0"/>
          <w:sz w:val="32"/>
          <w:szCs w:val="32"/>
        </w:rPr>
        <w:t>，学院审核后确定推荐课程；</w:t>
      </w:r>
    </w:p>
    <w:p w14:paraId="7DB858E9">
      <w:pPr>
        <w:pStyle w:val="4"/>
        <w:keepNext w:val="0"/>
        <w:keepLines w:val="0"/>
        <w:pageBreakBefore w:val="0"/>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hAnsiTheme="minorEastAsia"/>
          <w:sz w:val="32"/>
          <w:szCs w:val="32"/>
        </w:rPr>
      </w:pPr>
      <w:r>
        <w:rPr>
          <w:rFonts w:hint="eastAsia" w:ascii="仿宋_GB2312" w:eastAsia="仿宋_GB2312" w:cs="Times New Roman"/>
          <w:sz w:val="32"/>
          <w:szCs w:val="32"/>
        </w:rPr>
        <w:t>2、</w:t>
      </w:r>
      <w:r>
        <w:rPr>
          <w:rFonts w:hint="eastAsia" w:ascii="仿宋_GB2312" w:hAnsi="Times New Roman" w:eastAsia="仿宋_GB2312" w:cs="Times New Roman"/>
          <w:sz w:val="32"/>
          <w:szCs w:val="32"/>
        </w:rPr>
        <w:t>202</w:t>
      </w:r>
      <w:r>
        <w:rPr>
          <w:rFonts w:hint="eastAsia" w:ascii="仿宋_GB2312" w:hAnsi="Times New Roman" w:eastAsia="仿宋_GB2312" w:cs="Times New Roman"/>
          <w:sz w:val="32"/>
          <w:szCs w:val="32"/>
          <w:lang w:val="en-US" w:eastAsia="zh-CN"/>
        </w:rPr>
        <w:t>5</w:t>
      </w:r>
      <w:r>
        <w:rPr>
          <w:rFonts w:hint="eastAsia" w:ascii="仿宋_GB2312" w:eastAsia="仿宋_GB2312" w:cs="Times New Roman"/>
          <w:sz w:val="32"/>
          <w:szCs w:val="32"/>
        </w:rPr>
        <w:t>年</w:t>
      </w:r>
      <w:r>
        <w:rPr>
          <w:rFonts w:ascii="仿宋_GB2312" w:hAnsi="Times New Roman" w:eastAsia="仿宋_GB2312" w:cs="Times New Roman"/>
          <w:sz w:val="32"/>
          <w:szCs w:val="32"/>
        </w:rPr>
        <w:t>3</w:t>
      </w:r>
      <w:r>
        <w:rPr>
          <w:rFonts w:hint="eastAsia" w:ascii="仿宋_GB2312" w:eastAsia="仿宋_GB2312" w:cs="Times New Roman"/>
          <w:sz w:val="32"/>
          <w:szCs w:val="32"/>
        </w:rPr>
        <w:t>月</w:t>
      </w:r>
      <w:r>
        <w:rPr>
          <w:rFonts w:hint="eastAsia" w:ascii="仿宋_GB2312" w:hAnsi="Times New Roman" w:eastAsia="仿宋_GB2312" w:cs="Times New Roman"/>
          <w:sz w:val="32"/>
          <w:szCs w:val="32"/>
          <w:lang w:val="en-US" w:eastAsia="zh-CN"/>
        </w:rPr>
        <w:t>19</w:t>
      </w:r>
      <w:r>
        <w:rPr>
          <w:rFonts w:hint="eastAsia" w:ascii="仿宋_GB2312" w:eastAsia="仿宋_GB2312" w:cs="Times New Roman"/>
          <w:sz w:val="32"/>
          <w:szCs w:val="32"/>
        </w:rPr>
        <w:t>日前，</w:t>
      </w:r>
      <w:r>
        <w:rPr>
          <w:rFonts w:hint="eastAsia" w:ascii="仿宋_GB2312" w:eastAsia="仿宋_GB2312" w:hAnsiTheme="minorEastAsia"/>
          <w:sz w:val="32"/>
          <w:szCs w:val="32"/>
        </w:rPr>
        <w:t>学院审核后</w:t>
      </w:r>
      <w:r>
        <w:rPr>
          <w:rFonts w:hint="eastAsia" w:ascii="仿宋_GB2312" w:hAnsi="Times New Roman" w:eastAsia="仿宋_GB2312" w:cs="Times New Roman"/>
          <w:sz w:val="32"/>
          <w:szCs w:val="32"/>
        </w:rPr>
        <w:t>将</w:t>
      </w:r>
      <w:r>
        <w:rPr>
          <w:rFonts w:hint="eastAsia" w:ascii="仿宋_GB2312" w:eastAsia="仿宋_GB2312"/>
          <w:sz w:val="32"/>
          <w:szCs w:val="32"/>
        </w:rPr>
        <w:t>申报</w:t>
      </w:r>
      <w:r>
        <w:rPr>
          <w:rFonts w:ascii="仿宋_GB2312" w:eastAsia="仿宋_GB2312"/>
          <w:bCs/>
          <w:sz w:val="32"/>
          <w:szCs w:val="32"/>
        </w:rPr>
        <w:t>材料</w:t>
      </w:r>
      <w:r>
        <w:rPr>
          <w:rFonts w:hint="eastAsia" w:ascii="仿宋_GB2312" w:eastAsia="仿宋_GB2312"/>
          <w:bCs/>
          <w:sz w:val="32"/>
          <w:szCs w:val="32"/>
        </w:rPr>
        <w:t>电子版（word版和签字盖章</w:t>
      </w:r>
      <w:r>
        <w:rPr>
          <w:rFonts w:ascii="仿宋_GB2312" w:eastAsia="仿宋_GB2312"/>
          <w:bCs/>
          <w:sz w:val="32"/>
          <w:szCs w:val="32"/>
        </w:rPr>
        <w:t>PDF版）</w:t>
      </w:r>
      <w:r>
        <w:rPr>
          <w:rFonts w:hint="eastAsia" w:ascii="仿宋_GB2312" w:eastAsia="仿宋_GB2312"/>
          <w:bCs/>
          <w:sz w:val="32"/>
          <w:szCs w:val="32"/>
        </w:rPr>
        <w:t>汇总</w:t>
      </w:r>
      <w:r>
        <w:rPr>
          <w:rFonts w:ascii="仿宋_GB2312" w:eastAsia="仿宋_GB2312"/>
          <w:bCs/>
          <w:sz w:val="32"/>
          <w:szCs w:val="32"/>
        </w:rPr>
        <w:t>发送至</w:t>
      </w:r>
      <w:r>
        <w:rPr>
          <w:rFonts w:hint="eastAsia" w:ascii="仿宋_GB2312" w:eastAsia="仿宋_GB2312"/>
          <w:bCs/>
          <w:sz w:val="32"/>
          <w:szCs w:val="32"/>
        </w:rPr>
        <w:t>研究生院</w:t>
      </w:r>
      <w:r>
        <w:rPr>
          <w:rFonts w:hint="eastAsia" w:ascii="仿宋_GB2312" w:eastAsia="仿宋_GB2312"/>
          <w:bCs/>
          <w:sz w:val="32"/>
          <w:szCs w:val="32"/>
          <w:lang w:val="en-US" w:eastAsia="zh-CN"/>
        </w:rPr>
        <w:t>教研管理科</w:t>
      </w:r>
      <w:r>
        <w:rPr>
          <w:rFonts w:hint="eastAsia" w:ascii="仿宋_GB2312" w:eastAsia="仿宋_GB2312" w:hAnsiTheme="minorEastAsia"/>
          <w:sz w:val="32"/>
          <w:szCs w:val="32"/>
        </w:rPr>
        <w:t>；</w:t>
      </w:r>
    </w:p>
    <w:p w14:paraId="165B04B8">
      <w:pPr>
        <w:keepNext w:val="0"/>
        <w:keepLines w:val="0"/>
        <w:pageBreakBefore w:val="0"/>
        <w:widowControl/>
        <w:kinsoku/>
        <w:overflowPunct/>
        <w:topLinePunct w:val="0"/>
        <w:autoSpaceDE/>
        <w:autoSpaceDN/>
        <w:bidi w:val="0"/>
        <w:adjustRightInd/>
        <w:snapToGrid/>
        <w:spacing w:line="560" w:lineRule="exact"/>
        <w:ind w:firstLine="640" w:firstLineChars="200"/>
        <w:jc w:val="left"/>
        <w:textAlignment w:val="auto"/>
        <w:rPr>
          <w:rFonts w:ascii="仿宋_GB2312" w:eastAsia="仿宋_GB2312" w:hAnsiTheme="minorEastAsia"/>
          <w:sz w:val="32"/>
          <w:szCs w:val="32"/>
        </w:rPr>
      </w:pPr>
      <w:r>
        <w:rPr>
          <w:rFonts w:hint="eastAsia" w:ascii="仿宋_GB2312" w:eastAsia="仿宋_GB2312" w:hAnsiTheme="minorEastAsia"/>
          <w:sz w:val="32"/>
          <w:szCs w:val="32"/>
        </w:rPr>
        <w:t>3、研究生院组织专家组对项目申报材料进行评审，择优推荐立项，推荐项目予以公示，公示无异议后立项建设。</w:t>
      </w:r>
    </w:p>
    <w:p w14:paraId="10B792FC">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（二）202</w:t>
      </w:r>
      <w:r>
        <w:rPr>
          <w:rFonts w:hint="eastAsia" w:ascii="仿宋_GB2312" w:eastAsia="仿宋_GB2312" w:hAnsiTheme="minorEastAsia"/>
          <w:sz w:val="32"/>
          <w:szCs w:val="32"/>
          <w:lang w:val="en-US" w:eastAsia="zh-CN"/>
        </w:rPr>
        <w:t>5</w:t>
      </w:r>
      <w:r>
        <w:rPr>
          <w:rFonts w:hint="eastAsia" w:ascii="仿宋_GB2312" w:eastAsia="仿宋_GB2312" w:hAnsiTheme="minorEastAsia"/>
          <w:sz w:val="32"/>
          <w:szCs w:val="32"/>
        </w:rPr>
        <w:t>年第二批：</w:t>
      </w:r>
    </w:p>
    <w:p w14:paraId="55F8DF10">
      <w:pPr>
        <w:keepNext w:val="0"/>
        <w:keepLines w:val="0"/>
        <w:pageBreakBefore w:val="0"/>
        <w:widowControl/>
        <w:kinsoku/>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Times New Roman"/>
          <w:kern w:val="0"/>
          <w:sz w:val="32"/>
          <w:szCs w:val="32"/>
        </w:rPr>
      </w:pPr>
      <w:r>
        <w:rPr>
          <w:rFonts w:hint="eastAsia" w:ascii="仿宋_GB2312" w:eastAsia="仿宋_GB2312" w:hAnsiTheme="minorEastAsia"/>
          <w:sz w:val="32"/>
          <w:szCs w:val="32"/>
        </w:rPr>
        <w:t>1、</w:t>
      </w:r>
      <w:r>
        <w:rPr>
          <w:rFonts w:hint="eastAsia" w:ascii="仿宋_GB2312" w:hAnsi="Times New Roman" w:eastAsia="仿宋_GB2312" w:cs="Times New Roman"/>
          <w:kern w:val="0"/>
          <w:sz w:val="32"/>
          <w:szCs w:val="32"/>
        </w:rPr>
        <w:t>202</w:t>
      </w:r>
      <w:r>
        <w:rPr>
          <w:rFonts w:hint="eastAsia" w:ascii="仿宋_GB2312" w:hAnsi="Times New Roman" w:eastAsia="仿宋_GB2312" w:cs="Times New Roman"/>
          <w:kern w:val="0"/>
          <w:sz w:val="32"/>
          <w:szCs w:val="32"/>
          <w:lang w:val="en-US" w:eastAsia="zh-CN"/>
        </w:rPr>
        <w:t>5</w:t>
      </w:r>
      <w:r>
        <w:rPr>
          <w:rFonts w:hint="eastAsia" w:ascii="仿宋_GB2312" w:hAnsi="宋体" w:eastAsia="仿宋_GB2312" w:cs="Times New Roman"/>
          <w:kern w:val="0"/>
          <w:sz w:val="32"/>
          <w:szCs w:val="32"/>
        </w:rPr>
        <w:t>年</w:t>
      </w:r>
      <w:r>
        <w:rPr>
          <w:rFonts w:hint="eastAsia" w:ascii="仿宋_GB2312" w:hAnsi="Times New Roman" w:eastAsia="仿宋_GB2312" w:cs="Times New Roman"/>
          <w:kern w:val="0"/>
          <w:sz w:val="32"/>
          <w:szCs w:val="32"/>
        </w:rPr>
        <w:t>9</w:t>
      </w:r>
      <w:r>
        <w:rPr>
          <w:rFonts w:hint="eastAsia" w:ascii="仿宋_GB2312" w:hAnsi="宋体" w:eastAsia="仿宋_GB2312" w:cs="Times New Roman"/>
          <w:kern w:val="0"/>
          <w:sz w:val="32"/>
          <w:szCs w:val="32"/>
        </w:rPr>
        <w:t>月</w:t>
      </w:r>
      <w:r>
        <w:rPr>
          <w:rFonts w:hint="eastAsia" w:ascii="仿宋_GB2312" w:hAnsi="Times New Roman" w:eastAsia="仿宋_GB2312" w:cs="Times New Roman"/>
          <w:kern w:val="0"/>
          <w:sz w:val="32"/>
          <w:szCs w:val="32"/>
          <w:lang w:val="en-US" w:eastAsia="zh-CN"/>
        </w:rPr>
        <w:t>1</w:t>
      </w:r>
      <w:r>
        <w:rPr>
          <w:rFonts w:hint="eastAsia" w:ascii="仿宋_GB2312" w:hAnsi="宋体" w:eastAsia="仿宋_GB2312" w:cs="Times New Roman"/>
          <w:kern w:val="0"/>
          <w:sz w:val="32"/>
          <w:szCs w:val="32"/>
        </w:rPr>
        <w:t>日前，课程负责人按</w:t>
      </w:r>
      <w:r>
        <w:rPr>
          <w:rFonts w:hint="eastAsia" w:ascii="仿宋_GB2312" w:eastAsia="仿宋_GB2312" w:hAnsiTheme="minorEastAsia"/>
          <w:sz w:val="32"/>
          <w:szCs w:val="32"/>
        </w:rPr>
        <w:t>要求填写申报书交至学院研究生工作办公室</w:t>
      </w:r>
      <w:r>
        <w:rPr>
          <w:rFonts w:hint="eastAsia" w:ascii="仿宋_GB2312" w:hAnsi="宋体" w:eastAsia="仿宋_GB2312" w:cs="Times New Roman"/>
          <w:kern w:val="0"/>
          <w:sz w:val="32"/>
          <w:szCs w:val="32"/>
        </w:rPr>
        <w:t>，学院审核后确定推荐课程；</w:t>
      </w:r>
    </w:p>
    <w:p w14:paraId="15F61E65">
      <w:pPr>
        <w:pStyle w:val="4"/>
        <w:keepNext w:val="0"/>
        <w:keepLines w:val="0"/>
        <w:pageBreakBefore w:val="0"/>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hAnsiTheme="minorEastAsia"/>
          <w:sz w:val="32"/>
          <w:szCs w:val="32"/>
        </w:rPr>
      </w:pPr>
      <w:r>
        <w:rPr>
          <w:rFonts w:hint="eastAsia" w:ascii="仿宋_GB2312" w:eastAsia="仿宋_GB2312" w:cs="Times New Roman"/>
          <w:sz w:val="32"/>
          <w:szCs w:val="32"/>
        </w:rPr>
        <w:t>2、</w:t>
      </w:r>
      <w:r>
        <w:rPr>
          <w:rFonts w:hint="eastAsia" w:ascii="仿宋_GB2312" w:hAnsi="Times New Roman" w:eastAsia="仿宋_GB2312" w:cs="Times New Roman"/>
          <w:sz w:val="32"/>
          <w:szCs w:val="32"/>
        </w:rPr>
        <w:t>202</w:t>
      </w:r>
      <w:r>
        <w:rPr>
          <w:rFonts w:hint="eastAsia" w:ascii="仿宋_GB2312" w:hAnsi="Times New Roman" w:eastAsia="仿宋_GB2312" w:cs="Times New Roman"/>
          <w:sz w:val="32"/>
          <w:szCs w:val="32"/>
          <w:lang w:val="en-US" w:eastAsia="zh-CN"/>
        </w:rPr>
        <w:t>5</w:t>
      </w:r>
      <w:r>
        <w:rPr>
          <w:rFonts w:hint="eastAsia" w:ascii="仿宋_GB2312" w:eastAsia="仿宋_GB2312" w:cs="Times New Roman"/>
          <w:sz w:val="32"/>
          <w:szCs w:val="32"/>
        </w:rPr>
        <w:t>年</w:t>
      </w:r>
      <w:r>
        <w:rPr>
          <w:rFonts w:hint="eastAsia" w:ascii="仿宋_GB2312" w:hAnsi="Times New Roman" w:eastAsia="仿宋_GB2312" w:cs="Times New Roman"/>
          <w:sz w:val="32"/>
          <w:szCs w:val="32"/>
        </w:rPr>
        <w:t>9</w:t>
      </w:r>
      <w:r>
        <w:rPr>
          <w:rFonts w:hint="eastAsia" w:ascii="仿宋_GB2312" w:eastAsia="仿宋_GB2312" w:cs="Times New Roman"/>
          <w:sz w:val="32"/>
          <w:szCs w:val="32"/>
        </w:rPr>
        <w:t>月</w:t>
      </w:r>
      <w:r>
        <w:rPr>
          <w:rFonts w:hint="eastAsia" w:ascii="仿宋_GB2312" w:hAnsi="Times New Roman" w:eastAsia="仿宋_GB2312" w:cs="Times New Roman"/>
          <w:sz w:val="32"/>
          <w:szCs w:val="32"/>
          <w:lang w:val="en-US" w:eastAsia="zh-CN"/>
        </w:rPr>
        <w:t>2</w:t>
      </w:r>
      <w:r>
        <w:rPr>
          <w:rFonts w:hint="eastAsia" w:ascii="仿宋_GB2312" w:eastAsia="仿宋_GB2312" w:cs="Times New Roman"/>
          <w:sz w:val="32"/>
          <w:szCs w:val="32"/>
        </w:rPr>
        <w:t>日前，</w:t>
      </w:r>
      <w:r>
        <w:rPr>
          <w:rFonts w:hint="eastAsia" w:ascii="仿宋_GB2312" w:eastAsia="仿宋_GB2312" w:hAnsiTheme="minorEastAsia"/>
          <w:sz w:val="32"/>
          <w:szCs w:val="32"/>
        </w:rPr>
        <w:t>学院审核后</w:t>
      </w:r>
      <w:r>
        <w:rPr>
          <w:rFonts w:hint="eastAsia" w:ascii="仿宋_GB2312" w:hAnsi="Times New Roman" w:eastAsia="仿宋_GB2312" w:cs="Times New Roman"/>
          <w:sz w:val="32"/>
          <w:szCs w:val="32"/>
        </w:rPr>
        <w:t>将</w:t>
      </w:r>
      <w:r>
        <w:rPr>
          <w:rFonts w:hint="eastAsia" w:ascii="仿宋_GB2312" w:eastAsia="仿宋_GB2312"/>
          <w:sz w:val="32"/>
          <w:szCs w:val="32"/>
        </w:rPr>
        <w:t>申报</w:t>
      </w:r>
      <w:r>
        <w:rPr>
          <w:rFonts w:ascii="仿宋_GB2312" w:eastAsia="仿宋_GB2312"/>
          <w:bCs/>
          <w:sz w:val="32"/>
          <w:szCs w:val="32"/>
        </w:rPr>
        <w:t>材料</w:t>
      </w:r>
      <w:r>
        <w:rPr>
          <w:rFonts w:hint="eastAsia" w:ascii="仿宋_GB2312" w:eastAsia="仿宋_GB2312"/>
          <w:bCs/>
          <w:sz w:val="32"/>
          <w:szCs w:val="32"/>
        </w:rPr>
        <w:t>电子版</w:t>
      </w:r>
      <w:bookmarkStart w:id="0" w:name="_GoBack"/>
      <w:bookmarkEnd w:id="0"/>
      <w:r>
        <w:rPr>
          <w:rFonts w:hint="eastAsia" w:ascii="仿宋_GB2312" w:eastAsia="仿宋_GB2312"/>
          <w:bCs/>
          <w:sz w:val="32"/>
          <w:szCs w:val="32"/>
        </w:rPr>
        <w:t>（word版和签字盖章</w:t>
      </w:r>
      <w:r>
        <w:rPr>
          <w:rFonts w:ascii="仿宋_GB2312" w:eastAsia="仿宋_GB2312"/>
          <w:bCs/>
          <w:sz w:val="32"/>
          <w:szCs w:val="32"/>
        </w:rPr>
        <w:t>PDF版）</w:t>
      </w:r>
      <w:r>
        <w:rPr>
          <w:rFonts w:hint="eastAsia" w:ascii="仿宋_GB2312" w:eastAsia="仿宋_GB2312"/>
          <w:bCs/>
          <w:sz w:val="32"/>
          <w:szCs w:val="32"/>
        </w:rPr>
        <w:t>汇总</w:t>
      </w:r>
      <w:r>
        <w:rPr>
          <w:rFonts w:ascii="仿宋_GB2312" w:eastAsia="仿宋_GB2312"/>
          <w:bCs/>
          <w:sz w:val="32"/>
          <w:szCs w:val="32"/>
        </w:rPr>
        <w:t>发送至</w:t>
      </w:r>
      <w:r>
        <w:rPr>
          <w:rFonts w:hint="eastAsia" w:ascii="仿宋_GB2312" w:eastAsia="仿宋_GB2312"/>
          <w:bCs/>
          <w:sz w:val="32"/>
          <w:szCs w:val="32"/>
        </w:rPr>
        <w:t>研究生院</w:t>
      </w:r>
      <w:r>
        <w:rPr>
          <w:rFonts w:hint="eastAsia" w:ascii="仿宋_GB2312" w:eastAsia="仿宋_GB2312"/>
          <w:bCs/>
          <w:sz w:val="32"/>
          <w:szCs w:val="32"/>
          <w:lang w:val="en-US" w:eastAsia="zh-CN"/>
        </w:rPr>
        <w:t>教研管理科</w:t>
      </w:r>
      <w:r>
        <w:rPr>
          <w:rFonts w:hint="eastAsia" w:ascii="仿宋_GB2312" w:eastAsia="仿宋_GB2312" w:hAnsiTheme="minorEastAsia"/>
          <w:sz w:val="32"/>
          <w:szCs w:val="32"/>
        </w:rPr>
        <w:t>；</w:t>
      </w:r>
    </w:p>
    <w:p w14:paraId="4BEFF746">
      <w:pPr>
        <w:keepNext w:val="0"/>
        <w:keepLines w:val="0"/>
        <w:pageBreakBefore w:val="0"/>
        <w:widowControl/>
        <w:kinsoku/>
        <w:overflowPunct/>
        <w:topLinePunct w:val="0"/>
        <w:autoSpaceDE/>
        <w:autoSpaceDN/>
        <w:bidi w:val="0"/>
        <w:adjustRightInd/>
        <w:snapToGrid/>
        <w:spacing w:line="560" w:lineRule="exact"/>
        <w:ind w:firstLine="640" w:firstLineChars="200"/>
        <w:jc w:val="left"/>
        <w:textAlignment w:val="auto"/>
        <w:rPr>
          <w:rFonts w:ascii="仿宋_GB2312" w:eastAsia="仿宋_GB2312" w:hAnsiTheme="minorEastAsia"/>
          <w:sz w:val="32"/>
          <w:szCs w:val="32"/>
        </w:rPr>
      </w:pPr>
      <w:r>
        <w:rPr>
          <w:rFonts w:hint="eastAsia" w:ascii="仿宋_GB2312" w:eastAsia="仿宋_GB2312" w:hAnsiTheme="minorEastAsia"/>
          <w:sz w:val="32"/>
          <w:szCs w:val="32"/>
        </w:rPr>
        <w:t>3、研究生院组织专家组对项目申报材料进行评审，择优推荐立项，推荐项目予以公示，公示无异议后立项建设。</w:t>
      </w:r>
    </w:p>
    <w:p w14:paraId="70CD1E76">
      <w:pPr>
        <w:keepNext w:val="0"/>
        <w:keepLines w:val="0"/>
        <w:pageBreakBefore w:val="0"/>
        <w:kinsoku/>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五、项目管理</w:t>
      </w:r>
    </w:p>
    <w:p w14:paraId="59142BCA">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（一）每门国际化课程要指定一名副教授以上职称或者海外知名高校、科研机构或海外高校世界一流学科院系取得博士学位的专职教师作为课程负责人，协助主讲教师的授课工作。</w:t>
      </w:r>
    </w:p>
    <w:p w14:paraId="64455CB8">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（二）课程负责人须在开课前两周提交课程教学日历和《研究生录播教室申请表》至</w:t>
      </w:r>
      <w:r>
        <w:rPr>
          <w:rFonts w:hint="eastAsia" w:ascii="仿宋_GB2312" w:eastAsia="仿宋_GB2312" w:cs="Times New Roman" w:hAnsiTheme="minorEastAsia"/>
          <w:sz w:val="32"/>
          <w:szCs w:val="32"/>
        </w:rPr>
        <w:t>研究生院</w:t>
      </w:r>
      <w:r>
        <w:rPr>
          <w:rFonts w:hint="eastAsia" w:ascii="仿宋_GB2312" w:eastAsia="仿宋_GB2312" w:hAnsiTheme="minorEastAsia"/>
          <w:sz w:val="32"/>
          <w:szCs w:val="32"/>
        </w:rPr>
        <w:t>培养工作办公室，便于安排教室和课程管理。</w:t>
      </w:r>
    </w:p>
    <w:p w14:paraId="7E4BBBBF">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（三）已立项项目应加强管理，院（部）领导、督导、相关职能部门工作人员随堂听课，积极了解、跟踪、督促受资助课程建设进程。</w:t>
      </w:r>
    </w:p>
    <w:p w14:paraId="1AFFB9F5">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（四）课程结束后，课程负责人须完成课程网站资源建设，上传课程视频（要求视频数量等于申请学时数量，单个视频时间不得少于45分钟）并提交以下</w:t>
      </w:r>
      <w:r>
        <w:rPr>
          <w:rFonts w:hint="eastAsia" w:ascii="仿宋_GB2312" w:eastAsia="仿宋_GB2312" w:hAnsiTheme="minorEastAsia"/>
          <w:sz w:val="32"/>
          <w:szCs w:val="32"/>
          <w:lang w:val="en-US" w:eastAsia="zh-CN"/>
        </w:rPr>
        <w:t>纸质</w:t>
      </w:r>
      <w:r>
        <w:rPr>
          <w:rFonts w:hint="eastAsia" w:ascii="仿宋_GB2312" w:eastAsia="仿宋_GB2312" w:hAnsiTheme="minorEastAsia"/>
          <w:sz w:val="32"/>
          <w:szCs w:val="32"/>
        </w:rPr>
        <w:t>材料</w:t>
      </w:r>
      <w:r>
        <w:rPr>
          <w:rFonts w:hint="eastAsia" w:ascii="仿宋_GB2312" w:eastAsia="仿宋_GB2312" w:hAnsiTheme="minorEastAsia"/>
          <w:sz w:val="32"/>
          <w:szCs w:val="32"/>
          <w:lang w:val="en-US" w:eastAsia="zh-CN"/>
        </w:rPr>
        <w:t>至</w:t>
      </w:r>
      <w:r>
        <w:rPr>
          <w:rFonts w:hint="eastAsia" w:ascii="仿宋_GB2312" w:eastAsia="仿宋_GB2312" w:cs="Times New Roman" w:hAnsiTheme="minorEastAsia"/>
          <w:sz w:val="32"/>
          <w:szCs w:val="32"/>
        </w:rPr>
        <w:t>研究生院</w:t>
      </w:r>
      <w:r>
        <w:rPr>
          <w:rFonts w:hint="eastAsia" w:ascii="仿宋_GB2312" w:eastAsia="仿宋_GB2312" w:hAnsiTheme="minorEastAsia"/>
          <w:sz w:val="32"/>
          <w:szCs w:val="32"/>
        </w:rPr>
        <w:t>培养工作办公室105办理结题:</w:t>
      </w:r>
    </w:p>
    <w:p w14:paraId="14DF37C1">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1、《武汉理工大学研究生国际化课程建设项目总结报告》（附件2.2）</w:t>
      </w:r>
    </w:p>
    <w:p w14:paraId="57197B44">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2、课程视频刻制的光盘</w:t>
      </w:r>
    </w:p>
    <w:p w14:paraId="1C8A3B11">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3、授课教师的差旅费、课程建设费报销单</w:t>
      </w:r>
    </w:p>
    <w:p w14:paraId="7BEF8F89">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（五）课程自立项开始，建设周期为一年，超过一年未建设，视为自动放弃，不再享受课程资助。</w:t>
      </w:r>
    </w:p>
    <w:p w14:paraId="4CDA0FD8">
      <w:pPr>
        <w:keepNext w:val="0"/>
        <w:keepLines w:val="0"/>
        <w:pageBreakBefore w:val="0"/>
        <w:kinsoku/>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六、经费的使用和管理</w:t>
      </w:r>
    </w:p>
    <w:p w14:paraId="58A5866C">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（一）研究生国际化课程建设经费从研究生教学质量建设专项经费支出。</w:t>
      </w:r>
    </w:p>
    <w:p w14:paraId="3B7B2BE4">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二）学校为授课人员报销来校的一次性往返旅费（含国际、国内交通，其中机票为经济舱），讲课酬金按1000元/课时支付（不再另付在岗期间的伙食费、医疗费、住宿费等费用）,相应款项在课程结束、课程负责人提交总结报告及全程课程录像后，由学校财务直接</w:t>
      </w:r>
      <w:r>
        <w:rPr>
          <w:rFonts w:hint="eastAsia" w:ascii="仿宋_GB2312" w:eastAsia="仿宋_GB2312" w:hAnsiTheme="minorEastAsia"/>
          <w:sz w:val="32"/>
          <w:szCs w:val="32"/>
          <w:lang w:val="en-US" w:eastAsia="zh-CN"/>
        </w:rPr>
        <w:t>转账</w:t>
      </w:r>
      <w:r>
        <w:rPr>
          <w:rFonts w:hint="eastAsia" w:ascii="仿宋_GB2312" w:eastAsia="仿宋_GB2312" w:hAnsiTheme="minorEastAsia"/>
          <w:sz w:val="32"/>
          <w:szCs w:val="32"/>
        </w:rPr>
        <w:t>到授课人工商银行卡，银行卡须授课人凭本人有效证件在马区东院工商银行办理）。</w:t>
      </w:r>
    </w:p>
    <w:p w14:paraId="366D7720">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（三）学校为每门国际化课程提供5000元课程建设费，由课程负责人掌握使用。</w:t>
      </w:r>
    </w:p>
    <w:p w14:paraId="0BF9728E">
      <w:pPr>
        <w:keepNext w:val="0"/>
        <w:keepLines w:val="0"/>
        <w:pageBreakBefore w:val="0"/>
        <w:kinsoku/>
        <w:overflowPunct/>
        <w:topLinePunct w:val="0"/>
        <w:autoSpaceDE/>
        <w:autoSpaceDN/>
        <w:bidi w:val="0"/>
        <w:adjustRightInd/>
        <w:snapToGrid/>
        <w:spacing w:line="560" w:lineRule="exact"/>
        <w:textAlignment w:val="auto"/>
        <w:rPr>
          <w:rFonts w:ascii="仿宋_GB2312" w:eastAsia="仿宋_GB2312" w:hAnsiTheme="minorEastAsia"/>
          <w:sz w:val="32"/>
          <w:szCs w:val="32"/>
        </w:rPr>
      </w:pPr>
    </w:p>
    <w:p w14:paraId="1D900644">
      <w:pPr>
        <w:keepNext w:val="0"/>
        <w:keepLines w:val="0"/>
        <w:pageBreakBefore w:val="0"/>
        <w:kinsoku/>
        <w:wordWrap w:val="0"/>
        <w:overflowPunct/>
        <w:topLinePunct w:val="0"/>
        <w:autoSpaceDE/>
        <w:autoSpaceDN/>
        <w:bidi w:val="0"/>
        <w:adjustRightInd/>
        <w:snapToGrid/>
        <w:spacing w:line="560" w:lineRule="exact"/>
        <w:jc w:val="right"/>
        <w:textAlignment w:val="auto"/>
        <w:rPr>
          <w:rFonts w:hint="default" w:ascii="仿宋_GB2312" w:eastAsia="仿宋_GB2312" w:hAnsiTheme="minorEastAsia"/>
          <w:sz w:val="32"/>
          <w:szCs w:val="32"/>
          <w:lang w:val="en-US" w:eastAsia="zh-CN"/>
        </w:rPr>
      </w:pPr>
      <w:r>
        <w:rPr>
          <w:rFonts w:hint="eastAsia" w:ascii="仿宋_GB2312" w:eastAsia="仿宋_GB2312" w:hAnsiTheme="minorEastAsia"/>
          <w:sz w:val="32"/>
          <w:szCs w:val="32"/>
        </w:rPr>
        <w:t>研究生院</w:t>
      </w:r>
      <w:r>
        <w:rPr>
          <w:rFonts w:hint="eastAsia" w:ascii="仿宋_GB2312" w:eastAsia="仿宋_GB2312" w:hAnsiTheme="minorEastAsia"/>
          <w:sz w:val="32"/>
          <w:szCs w:val="32"/>
          <w:lang w:val="en-US" w:eastAsia="zh-CN"/>
        </w:rPr>
        <w:t xml:space="preserve">   </w:t>
      </w:r>
    </w:p>
    <w:p w14:paraId="6999F1D4">
      <w:pPr>
        <w:keepNext w:val="0"/>
        <w:keepLines w:val="0"/>
        <w:pageBreakBefore w:val="0"/>
        <w:kinsoku/>
        <w:overflowPunct/>
        <w:topLinePunct w:val="0"/>
        <w:autoSpaceDE/>
        <w:autoSpaceDN/>
        <w:bidi w:val="0"/>
        <w:adjustRightInd/>
        <w:snapToGrid/>
        <w:spacing w:line="560" w:lineRule="exact"/>
        <w:jc w:val="right"/>
        <w:textAlignment w:val="auto"/>
        <w:rPr>
          <w:rFonts w:ascii="仿宋_GB2312" w:eastAsia="仿宋_GB2312" w:hAnsiTheme="minorEastAsia"/>
          <w:sz w:val="32"/>
          <w:szCs w:val="32"/>
        </w:rPr>
      </w:pPr>
      <w:r>
        <w:rPr>
          <w:rFonts w:hint="eastAsia" w:ascii="仿宋_GB2312" w:eastAsia="仿宋_GB2312" w:hAnsiTheme="minorEastAsia"/>
          <w:sz w:val="32"/>
          <w:szCs w:val="32"/>
        </w:rPr>
        <w:t>202</w:t>
      </w:r>
      <w:r>
        <w:rPr>
          <w:rFonts w:hint="eastAsia" w:ascii="仿宋_GB2312" w:eastAsia="仿宋_GB2312" w:hAnsiTheme="minorEastAsia"/>
          <w:sz w:val="32"/>
          <w:szCs w:val="32"/>
          <w:lang w:val="en-US" w:eastAsia="zh-CN"/>
        </w:rPr>
        <w:t>5</w:t>
      </w:r>
      <w:r>
        <w:rPr>
          <w:rFonts w:hint="eastAsia" w:ascii="仿宋_GB2312" w:eastAsia="仿宋_GB2312" w:hAnsiTheme="minorEastAsia"/>
          <w:sz w:val="32"/>
          <w:szCs w:val="32"/>
        </w:rPr>
        <w:t>年</w:t>
      </w:r>
      <w:r>
        <w:rPr>
          <w:rFonts w:ascii="仿宋_GB2312" w:eastAsia="仿宋_GB2312" w:hAnsiTheme="minorEastAsia"/>
          <w:sz w:val="32"/>
          <w:szCs w:val="32"/>
        </w:rPr>
        <w:t>3</w:t>
      </w:r>
      <w:r>
        <w:rPr>
          <w:rFonts w:hint="eastAsia" w:ascii="仿宋_GB2312" w:eastAsia="仿宋_GB2312" w:hAnsiTheme="minorEastAsia"/>
          <w:sz w:val="32"/>
          <w:szCs w:val="32"/>
        </w:rPr>
        <w:t>月</w:t>
      </w:r>
      <w:r>
        <w:rPr>
          <w:rFonts w:hint="eastAsia" w:ascii="仿宋_GB2312" w:eastAsia="仿宋_GB2312" w:hAnsiTheme="minorEastAsia"/>
          <w:sz w:val="32"/>
          <w:szCs w:val="32"/>
          <w:lang w:val="en-US" w:eastAsia="zh-CN"/>
        </w:rPr>
        <w:t>7</w:t>
      </w:r>
      <w:r>
        <w:rPr>
          <w:rFonts w:hint="eastAsia" w:ascii="仿宋_GB2312" w:eastAsia="仿宋_GB2312" w:hAnsiTheme="minorEastAsia"/>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8E7"/>
    <w:rsid w:val="00011BB9"/>
    <w:rsid w:val="0001573F"/>
    <w:rsid w:val="000160C7"/>
    <w:rsid w:val="0009593C"/>
    <w:rsid w:val="000C40CF"/>
    <w:rsid w:val="000C6620"/>
    <w:rsid w:val="000E77CF"/>
    <w:rsid w:val="00131D87"/>
    <w:rsid w:val="00145D3C"/>
    <w:rsid w:val="001604EB"/>
    <w:rsid w:val="0016396D"/>
    <w:rsid w:val="001B2AF1"/>
    <w:rsid w:val="00201769"/>
    <w:rsid w:val="00207931"/>
    <w:rsid w:val="00231F10"/>
    <w:rsid w:val="002378FF"/>
    <w:rsid w:val="002401F8"/>
    <w:rsid w:val="002774A8"/>
    <w:rsid w:val="00283048"/>
    <w:rsid w:val="002B1241"/>
    <w:rsid w:val="00312ECC"/>
    <w:rsid w:val="00326BD6"/>
    <w:rsid w:val="00334FA0"/>
    <w:rsid w:val="00346AF5"/>
    <w:rsid w:val="003737FB"/>
    <w:rsid w:val="003776D2"/>
    <w:rsid w:val="003B4887"/>
    <w:rsid w:val="003B65FF"/>
    <w:rsid w:val="00404E3A"/>
    <w:rsid w:val="004143DE"/>
    <w:rsid w:val="00415144"/>
    <w:rsid w:val="00424F40"/>
    <w:rsid w:val="00457A53"/>
    <w:rsid w:val="00457B76"/>
    <w:rsid w:val="004A0053"/>
    <w:rsid w:val="004A4986"/>
    <w:rsid w:val="004B3BD8"/>
    <w:rsid w:val="004D5B0C"/>
    <w:rsid w:val="004F49AF"/>
    <w:rsid w:val="00556B3B"/>
    <w:rsid w:val="0058547A"/>
    <w:rsid w:val="005B39BD"/>
    <w:rsid w:val="005D44F6"/>
    <w:rsid w:val="005F7753"/>
    <w:rsid w:val="0061544A"/>
    <w:rsid w:val="0062548B"/>
    <w:rsid w:val="00650AD5"/>
    <w:rsid w:val="00680F39"/>
    <w:rsid w:val="006A5425"/>
    <w:rsid w:val="006B15C3"/>
    <w:rsid w:val="006B45B9"/>
    <w:rsid w:val="006C6E28"/>
    <w:rsid w:val="006E4A04"/>
    <w:rsid w:val="00703FBB"/>
    <w:rsid w:val="0071703A"/>
    <w:rsid w:val="00734361"/>
    <w:rsid w:val="007515CD"/>
    <w:rsid w:val="00751AF4"/>
    <w:rsid w:val="0075780F"/>
    <w:rsid w:val="007B62D4"/>
    <w:rsid w:val="007B6339"/>
    <w:rsid w:val="007F04E0"/>
    <w:rsid w:val="008004D7"/>
    <w:rsid w:val="008342BB"/>
    <w:rsid w:val="008502D3"/>
    <w:rsid w:val="008660D5"/>
    <w:rsid w:val="00866EDB"/>
    <w:rsid w:val="00870947"/>
    <w:rsid w:val="00873ED6"/>
    <w:rsid w:val="008757D8"/>
    <w:rsid w:val="009159E6"/>
    <w:rsid w:val="0092090D"/>
    <w:rsid w:val="0094214F"/>
    <w:rsid w:val="009513C1"/>
    <w:rsid w:val="00952A29"/>
    <w:rsid w:val="00967318"/>
    <w:rsid w:val="00994837"/>
    <w:rsid w:val="009B35B1"/>
    <w:rsid w:val="009D15EE"/>
    <w:rsid w:val="00A017C8"/>
    <w:rsid w:val="00A17818"/>
    <w:rsid w:val="00A22D06"/>
    <w:rsid w:val="00A25029"/>
    <w:rsid w:val="00A27AA0"/>
    <w:rsid w:val="00A31679"/>
    <w:rsid w:val="00A76C67"/>
    <w:rsid w:val="00A87C57"/>
    <w:rsid w:val="00AB143F"/>
    <w:rsid w:val="00AF6376"/>
    <w:rsid w:val="00B00BE5"/>
    <w:rsid w:val="00B17F5C"/>
    <w:rsid w:val="00B23380"/>
    <w:rsid w:val="00B33C99"/>
    <w:rsid w:val="00B36F58"/>
    <w:rsid w:val="00B57ECA"/>
    <w:rsid w:val="00B9618D"/>
    <w:rsid w:val="00BB1191"/>
    <w:rsid w:val="00BC20D8"/>
    <w:rsid w:val="00BC39E1"/>
    <w:rsid w:val="00BD336C"/>
    <w:rsid w:val="00BF0D6C"/>
    <w:rsid w:val="00C14E0A"/>
    <w:rsid w:val="00C25244"/>
    <w:rsid w:val="00C33207"/>
    <w:rsid w:val="00C408E7"/>
    <w:rsid w:val="00C50EEC"/>
    <w:rsid w:val="00C65835"/>
    <w:rsid w:val="00CA3859"/>
    <w:rsid w:val="00CB0E47"/>
    <w:rsid w:val="00CC16C5"/>
    <w:rsid w:val="00CD7E21"/>
    <w:rsid w:val="00D00CB9"/>
    <w:rsid w:val="00D02FA8"/>
    <w:rsid w:val="00D36A57"/>
    <w:rsid w:val="00D53478"/>
    <w:rsid w:val="00DB713A"/>
    <w:rsid w:val="00DD4489"/>
    <w:rsid w:val="00E169C0"/>
    <w:rsid w:val="00E322E0"/>
    <w:rsid w:val="00E6791D"/>
    <w:rsid w:val="00EA50A3"/>
    <w:rsid w:val="00EB4BB6"/>
    <w:rsid w:val="00ED5891"/>
    <w:rsid w:val="00EF6CCE"/>
    <w:rsid w:val="00F415C8"/>
    <w:rsid w:val="00F41BBB"/>
    <w:rsid w:val="00F7399E"/>
    <w:rsid w:val="00F7724E"/>
    <w:rsid w:val="00F846CC"/>
    <w:rsid w:val="00F90B55"/>
    <w:rsid w:val="00F929E5"/>
    <w:rsid w:val="00FA529E"/>
    <w:rsid w:val="00FD3AC2"/>
    <w:rsid w:val="00FF08E0"/>
    <w:rsid w:val="177E22C4"/>
    <w:rsid w:val="33307677"/>
    <w:rsid w:val="5D942216"/>
    <w:rsid w:val="6457565F"/>
    <w:rsid w:val="7FEE1F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ind w:firstLine="360"/>
      <w:jc w:val="left"/>
    </w:pPr>
    <w:rPr>
      <w:rFonts w:ascii="宋体" w:hAnsi="宋体" w:eastAsia="宋体" w:cs="宋体"/>
      <w:kern w:val="0"/>
      <w:sz w:val="24"/>
      <w:szCs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character" w:customStyle="1" w:styleId="9">
    <w:name w:val="title162"/>
    <w:basedOn w:val="6"/>
    <w:qFormat/>
    <w:uiPriority w:val="0"/>
    <w:rPr>
      <w:b/>
      <w:bCs/>
      <w:sz w:val="23"/>
      <w:szCs w:val="2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1514</Words>
  <Characters>1573</Characters>
  <Lines>11</Lines>
  <Paragraphs>3</Paragraphs>
  <TotalTime>0</TotalTime>
  <ScaleCrop>false</ScaleCrop>
  <LinksUpToDate>false</LinksUpToDate>
  <CharactersWithSpaces>1576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2017-02-27T07:47:00Z</dcterms:created>
  <dc:creator>微软用户</dc:creator>
  <cp:lastModifiedBy>Administrator</cp:lastModifiedBy>
  <dcterms:modified xsi:type="dcterms:W3CDTF">2025-03-07T08:59:30Z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eyJoZGlkIjoiOTMwOTJlNzhmN2FkMWMwMmQ4MjY4YWVjZjQ2ZjY3N2UiLCJ1c2VySWQiOiIxNjA1OTc0ODQzIn0=</vt:lpwstr>
  </property>
  <property fmtid="{D5CDD505-2E9C-101B-9397-08002B2CF9AE}" pid="3" name="KSOProductBuildVer">
    <vt:lpwstr>2052-12.1.0.19302</vt:lpwstr>
  </property>
  <property fmtid="{D5CDD505-2E9C-101B-9397-08002B2CF9AE}" pid="4" name="ICV">
    <vt:lpwstr>AE67A8D7BFC54E47B77A6FF1150EF9CD_13</vt:lpwstr>
  </property>
</Properties>
</file>